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B4" w:rsidRPr="00B514AD" w:rsidRDefault="003076B4" w:rsidP="00FD487C">
      <w:pPr>
        <w:spacing w:after="0" w:line="240" w:lineRule="auto"/>
        <w:jc w:val="both"/>
        <w:rPr>
          <w:rFonts w:ascii="Arial" w:hAnsi="Arial" w:cs="Arial"/>
          <w:color w:val="000000" w:themeColor="text1"/>
          <w:lang w:val="es-ES_tradnl"/>
        </w:rPr>
      </w:pPr>
      <w:r w:rsidRPr="00B514AD">
        <w:rPr>
          <w:rFonts w:ascii="Arial" w:hAnsi="Arial" w:cs="Arial"/>
          <w:color w:val="000000" w:themeColor="text1"/>
          <w:lang w:val="es-ES_tradnl"/>
        </w:rPr>
        <w:t xml:space="preserve"> </w:t>
      </w:r>
      <w:r w:rsidR="003F26E0" w:rsidRPr="00B514AD">
        <w:rPr>
          <w:rFonts w:ascii="Arial" w:hAnsi="Arial" w:cs="Arial"/>
          <w:color w:val="000000" w:themeColor="text1"/>
          <w:lang w:val="es-ES_tradnl"/>
        </w:rPr>
        <w:t>B</w:t>
      </w:r>
      <w:r w:rsidR="000C57E0" w:rsidRPr="00B514AD">
        <w:rPr>
          <w:rFonts w:ascii="Arial" w:hAnsi="Arial" w:cs="Arial"/>
          <w:color w:val="000000" w:themeColor="text1"/>
          <w:lang w:val="es-ES_tradnl"/>
        </w:rPr>
        <w:t>ogotá D.C</w:t>
      </w:r>
      <w:r w:rsidR="003440D6" w:rsidRPr="00B514AD">
        <w:rPr>
          <w:rFonts w:ascii="Arial" w:hAnsi="Arial" w:cs="Arial"/>
          <w:color w:val="000000" w:themeColor="text1"/>
          <w:lang w:val="es-ES_tradnl"/>
        </w:rPr>
        <w:t xml:space="preserve">, </w:t>
      </w:r>
      <w:r w:rsidR="00162E8F">
        <w:rPr>
          <w:rFonts w:ascii="Arial" w:hAnsi="Arial" w:cs="Arial"/>
          <w:color w:val="000000" w:themeColor="text1"/>
          <w:lang w:val="es-ES_tradnl"/>
        </w:rPr>
        <w:t>16</w:t>
      </w:r>
      <w:r w:rsidR="003440D6" w:rsidRPr="00B514AD">
        <w:rPr>
          <w:rFonts w:ascii="Arial" w:hAnsi="Arial" w:cs="Arial"/>
          <w:color w:val="000000" w:themeColor="text1"/>
          <w:lang w:val="es-ES_tradnl"/>
        </w:rPr>
        <w:t xml:space="preserve"> de </w:t>
      </w:r>
      <w:r w:rsidR="00EC2AF0" w:rsidRPr="00B514AD">
        <w:rPr>
          <w:rFonts w:ascii="Arial" w:hAnsi="Arial" w:cs="Arial"/>
          <w:color w:val="000000" w:themeColor="text1"/>
          <w:lang w:val="es-ES_tradnl"/>
        </w:rPr>
        <w:t>octubre</w:t>
      </w:r>
      <w:r w:rsidR="003A43F0" w:rsidRPr="00B514AD">
        <w:rPr>
          <w:rFonts w:ascii="Arial" w:hAnsi="Arial" w:cs="Arial"/>
          <w:color w:val="000000" w:themeColor="text1"/>
          <w:lang w:val="es-ES_tradnl"/>
        </w:rPr>
        <w:t xml:space="preserve"> </w:t>
      </w:r>
      <w:r w:rsidR="0096189F" w:rsidRPr="00B514AD">
        <w:rPr>
          <w:rFonts w:ascii="Arial" w:hAnsi="Arial" w:cs="Arial"/>
          <w:color w:val="000000" w:themeColor="text1"/>
          <w:lang w:val="es-ES_tradnl"/>
        </w:rPr>
        <w:t>de 2019</w:t>
      </w:r>
    </w:p>
    <w:p w:rsidR="000C57E0" w:rsidRPr="00B514AD" w:rsidRDefault="000C57E0" w:rsidP="00FD487C">
      <w:pPr>
        <w:pStyle w:val="Sinespaciado1"/>
        <w:jc w:val="both"/>
        <w:rPr>
          <w:rFonts w:ascii="Arial" w:hAnsi="Arial" w:cs="Arial"/>
          <w:color w:val="000000" w:themeColor="text1"/>
          <w:lang w:val="es-ES_tradnl"/>
        </w:rPr>
      </w:pPr>
    </w:p>
    <w:p w:rsidR="005C572A" w:rsidRPr="00B514AD" w:rsidRDefault="005C572A" w:rsidP="00FD487C">
      <w:pPr>
        <w:pStyle w:val="Sinespaciado1"/>
        <w:jc w:val="both"/>
        <w:rPr>
          <w:rFonts w:ascii="Arial" w:hAnsi="Arial" w:cs="Arial"/>
          <w:color w:val="000000" w:themeColor="text1"/>
          <w:lang w:val="es-ES_tradnl"/>
        </w:rPr>
      </w:pPr>
    </w:p>
    <w:p w:rsidR="005C572A" w:rsidRPr="00B514AD" w:rsidRDefault="005C572A" w:rsidP="00FD487C">
      <w:pPr>
        <w:pStyle w:val="Sinespaciado1"/>
        <w:jc w:val="both"/>
        <w:rPr>
          <w:rFonts w:ascii="Arial" w:hAnsi="Arial" w:cs="Arial"/>
          <w:color w:val="000000" w:themeColor="text1"/>
          <w:lang w:val="es-ES_tradnl"/>
        </w:rPr>
      </w:pPr>
    </w:p>
    <w:p w:rsidR="00266569" w:rsidRPr="00B514AD" w:rsidRDefault="00266569" w:rsidP="00FD487C">
      <w:pPr>
        <w:pStyle w:val="Sinespaciado1"/>
        <w:jc w:val="both"/>
        <w:rPr>
          <w:rFonts w:ascii="Arial" w:hAnsi="Arial" w:cs="Arial"/>
          <w:color w:val="000000" w:themeColor="text1"/>
          <w:lang w:val="es-ES_tradnl"/>
        </w:rPr>
      </w:pPr>
      <w:r w:rsidRPr="00B514AD">
        <w:rPr>
          <w:rFonts w:ascii="Arial" w:hAnsi="Arial" w:cs="Arial"/>
          <w:color w:val="000000" w:themeColor="text1"/>
          <w:lang w:val="es-ES_tradnl"/>
        </w:rPr>
        <w:t>Doctor</w:t>
      </w:r>
    </w:p>
    <w:p w:rsidR="003F6A08" w:rsidRPr="00B514AD" w:rsidRDefault="003F6A08" w:rsidP="00FD487C">
      <w:pPr>
        <w:pStyle w:val="Sinespaciado1"/>
        <w:jc w:val="both"/>
        <w:rPr>
          <w:rFonts w:ascii="Arial" w:hAnsi="Arial" w:cs="Arial"/>
          <w:b/>
          <w:color w:val="000000" w:themeColor="text1"/>
          <w:lang w:val="es-ES_tradnl"/>
        </w:rPr>
      </w:pPr>
      <w:r w:rsidRPr="00B514AD">
        <w:rPr>
          <w:rFonts w:ascii="Arial" w:hAnsi="Arial" w:cs="Arial"/>
          <w:b/>
          <w:color w:val="000000" w:themeColor="text1"/>
          <w:lang w:val="es-ES_tradnl"/>
        </w:rPr>
        <w:t>JUAN CARLOS LOZADA VARGAS</w:t>
      </w:r>
    </w:p>
    <w:p w:rsidR="00EB149C" w:rsidRPr="00B514AD" w:rsidRDefault="00EB149C" w:rsidP="00FD487C">
      <w:pPr>
        <w:pStyle w:val="Sinespaciado1"/>
        <w:jc w:val="both"/>
        <w:rPr>
          <w:rFonts w:ascii="Arial" w:hAnsi="Arial" w:cs="Arial"/>
          <w:b/>
          <w:color w:val="000000" w:themeColor="text1"/>
          <w:lang w:val="es-ES_tradnl"/>
        </w:rPr>
      </w:pPr>
      <w:r w:rsidRPr="00B514AD">
        <w:rPr>
          <w:rFonts w:ascii="Arial" w:hAnsi="Arial" w:cs="Arial"/>
          <w:b/>
          <w:color w:val="000000" w:themeColor="text1"/>
          <w:lang w:val="es-ES_tradnl"/>
        </w:rPr>
        <w:t>PRESIDENTE</w:t>
      </w:r>
    </w:p>
    <w:p w:rsidR="000C57E0" w:rsidRPr="00B514AD" w:rsidRDefault="00266569" w:rsidP="00FD487C">
      <w:pPr>
        <w:pStyle w:val="Sinespaciado1"/>
        <w:jc w:val="both"/>
        <w:rPr>
          <w:rFonts w:ascii="Arial" w:hAnsi="Arial" w:cs="Arial"/>
          <w:color w:val="000000" w:themeColor="text1"/>
          <w:lang w:val="es-ES_tradnl"/>
        </w:rPr>
      </w:pPr>
      <w:r w:rsidRPr="00B514AD">
        <w:rPr>
          <w:rFonts w:ascii="Arial" w:hAnsi="Arial" w:cs="Arial"/>
          <w:color w:val="000000" w:themeColor="text1"/>
          <w:lang w:val="es-ES_tradnl"/>
        </w:rPr>
        <w:t xml:space="preserve">Comisión </w:t>
      </w:r>
      <w:r w:rsidR="00E44DCB" w:rsidRPr="00B514AD">
        <w:rPr>
          <w:rFonts w:ascii="Arial" w:hAnsi="Arial" w:cs="Arial"/>
          <w:color w:val="000000" w:themeColor="text1"/>
          <w:lang w:val="es-ES_tradnl"/>
        </w:rPr>
        <w:t>Primera</w:t>
      </w:r>
      <w:r w:rsidRPr="00B514AD">
        <w:rPr>
          <w:rFonts w:ascii="Arial" w:hAnsi="Arial" w:cs="Arial"/>
          <w:color w:val="000000" w:themeColor="text1"/>
          <w:lang w:val="es-ES_tradnl"/>
        </w:rPr>
        <w:t xml:space="preserve"> </w:t>
      </w:r>
    </w:p>
    <w:p w:rsidR="00266569" w:rsidRPr="00B514AD" w:rsidRDefault="005A7E50" w:rsidP="00FD487C">
      <w:pPr>
        <w:pStyle w:val="Sinespaciado1"/>
        <w:jc w:val="both"/>
        <w:rPr>
          <w:rFonts w:ascii="Arial" w:hAnsi="Arial" w:cs="Arial"/>
          <w:color w:val="000000" w:themeColor="text1"/>
          <w:lang w:val="es-ES_tradnl"/>
        </w:rPr>
      </w:pPr>
      <w:r w:rsidRPr="00B514AD">
        <w:rPr>
          <w:rFonts w:ascii="Arial" w:hAnsi="Arial" w:cs="Arial"/>
          <w:color w:val="000000" w:themeColor="text1"/>
          <w:lang w:val="es-ES_tradnl"/>
        </w:rPr>
        <w:t xml:space="preserve">Cámara de Representantes </w:t>
      </w:r>
    </w:p>
    <w:p w:rsidR="00266569" w:rsidRPr="00B514AD" w:rsidRDefault="000C57E0" w:rsidP="00FD487C">
      <w:pPr>
        <w:pStyle w:val="Sinespaciado1"/>
        <w:jc w:val="both"/>
        <w:rPr>
          <w:rFonts w:ascii="Arial" w:hAnsi="Arial" w:cs="Arial"/>
          <w:color w:val="000000" w:themeColor="text1"/>
          <w:lang w:val="es-ES_tradnl"/>
        </w:rPr>
      </w:pPr>
      <w:r w:rsidRPr="00B514AD">
        <w:rPr>
          <w:rFonts w:ascii="Arial" w:hAnsi="Arial" w:cs="Arial"/>
          <w:color w:val="000000" w:themeColor="text1"/>
          <w:lang w:val="es-ES_tradnl"/>
        </w:rPr>
        <w:t>Ciudad</w:t>
      </w:r>
      <w:r w:rsidR="00C24420" w:rsidRPr="00B514AD">
        <w:rPr>
          <w:rFonts w:ascii="Arial" w:hAnsi="Arial" w:cs="Arial"/>
          <w:color w:val="000000" w:themeColor="text1"/>
          <w:lang w:val="es-ES_tradnl"/>
        </w:rPr>
        <w:t>,</w:t>
      </w:r>
      <w:r w:rsidRPr="00B514AD">
        <w:rPr>
          <w:rFonts w:ascii="Arial" w:hAnsi="Arial" w:cs="Arial"/>
          <w:color w:val="000000" w:themeColor="text1"/>
          <w:lang w:val="es-ES_tradnl"/>
        </w:rPr>
        <w:t xml:space="preserve"> </w:t>
      </w:r>
    </w:p>
    <w:p w:rsidR="00462590" w:rsidRPr="00B514AD" w:rsidRDefault="00462590" w:rsidP="00FD487C">
      <w:pPr>
        <w:pStyle w:val="Sinespaciado1"/>
        <w:jc w:val="both"/>
        <w:rPr>
          <w:rFonts w:ascii="Arial" w:hAnsi="Arial" w:cs="Arial"/>
          <w:color w:val="000000" w:themeColor="text1"/>
          <w:lang w:val="es-ES_tradnl"/>
        </w:rPr>
      </w:pPr>
    </w:p>
    <w:p w:rsidR="005A7E50" w:rsidRPr="00162E8F" w:rsidRDefault="00266569" w:rsidP="00EC2AF0">
      <w:pPr>
        <w:ind w:left="709" w:hanging="1"/>
        <w:jc w:val="both"/>
        <w:rPr>
          <w:rFonts w:ascii="Arial" w:hAnsi="Arial" w:cs="Arial"/>
          <w:color w:val="000000" w:themeColor="text1"/>
        </w:rPr>
      </w:pPr>
      <w:r w:rsidRPr="00B514AD">
        <w:rPr>
          <w:rFonts w:ascii="Arial" w:hAnsi="Arial" w:cs="Arial"/>
          <w:b/>
          <w:color w:val="000000" w:themeColor="text1"/>
          <w:lang w:val="es-ES_tradnl"/>
        </w:rPr>
        <w:t>REF:</w:t>
      </w:r>
      <w:r w:rsidRPr="00B514AD">
        <w:rPr>
          <w:rFonts w:ascii="Arial" w:hAnsi="Arial" w:cs="Arial"/>
          <w:color w:val="000000" w:themeColor="text1"/>
          <w:lang w:val="es-ES_tradnl"/>
        </w:rPr>
        <w:t xml:space="preserve"> </w:t>
      </w:r>
      <w:r w:rsidR="00EC2AF0" w:rsidRPr="00B514AD">
        <w:rPr>
          <w:rFonts w:ascii="Arial" w:hAnsi="Arial" w:cs="Arial"/>
        </w:rPr>
        <w:t xml:space="preserve">Informe de Ponencia para primer debate al Proyecto del proyecto de Ley 199 de 2019 Cámara </w:t>
      </w:r>
      <w:r w:rsidR="00EC2AF0" w:rsidRPr="00B514AD">
        <w:rPr>
          <w:rFonts w:ascii="Arial" w:hAnsi="Arial" w:cs="Arial"/>
          <w:b/>
        </w:rPr>
        <w:t>“POR MEDIO DE LA CUAL MODIFICA LA LEY 1448 DE 2011 AMPLIANDO POR 10 AÑOS LA VIGENCIA DE LA MISMA”</w:t>
      </w:r>
      <w:r w:rsidR="00162E8F">
        <w:rPr>
          <w:rFonts w:ascii="Arial" w:hAnsi="Arial" w:cs="Arial"/>
          <w:b/>
          <w:color w:val="000000" w:themeColor="text1"/>
          <w:lang w:val="es-ES_tradnl"/>
        </w:rPr>
        <w:t xml:space="preserve">, </w:t>
      </w:r>
      <w:r w:rsidR="00162E8F">
        <w:rPr>
          <w:rFonts w:ascii="Arial" w:hAnsi="Arial" w:cs="Arial"/>
          <w:color w:val="000000" w:themeColor="text1"/>
          <w:lang w:val="es-ES_tradnl"/>
        </w:rPr>
        <w:t xml:space="preserve">acumulado con el </w:t>
      </w:r>
      <w:r w:rsidR="00A65DA3">
        <w:rPr>
          <w:rFonts w:ascii="Arial" w:hAnsi="Arial" w:cs="Arial"/>
          <w:color w:val="000000" w:themeColor="text1"/>
          <w:lang w:val="es-ES_tradnl"/>
        </w:rPr>
        <w:t xml:space="preserve">Proyecto de Ley 247 de 2019 Cámara </w:t>
      </w:r>
      <w:r w:rsidR="00162E8F" w:rsidRPr="00162E8F">
        <w:rPr>
          <w:rFonts w:ascii="Arial" w:hAnsi="Arial" w:cs="Arial"/>
          <w:b/>
          <w:color w:val="000000" w:themeColor="text1"/>
          <w:lang w:val="es-ES_tradnl"/>
        </w:rPr>
        <w:t>“POR MEDIO DE LA CUAL SE MODIFICAN LOS ARTÍCULOS 208 DE LEY 1448 DE 2011, 194 DEL DECRETO LEY 4633 DE 2011, 123 DEL DECRETO LEY 4634 DE 2011, Y DEL DECRETO LEY 4635 DE 2011, PRORROGÁNDOSE LAS ANTERIORES NORMAS POR DIEZ AÑOS MÁS.</w:t>
      </w:r>
      <w:r w:rsidR="00162E8F">
        <w:rPr>
          <w:rFonts w:ascii="Arial" w:hAnsi="Arial" w:cs="Arial"/>
          <w:color w:val="000000" w:themeColor="text1"/>
          <w:lang w:val="es-ES_tradnl"/>
        </w:rPr>
        <w:t xml:space="preserve"> </w:t>
      </w:r>
    </w:p>
    <w:p w:rsidR="00462590" w:rsidRPr="00B514AD" w:rsidRDefault="00D669DD" w:rsidP="005C572A">
      <w:pPr>
        <w:spacing w:after="0" w:line="240" w:lineRule="auto"/>
        <w:ind w:left="2832"/>
        <w:jc w:val="both"/>
        <w:rPr>
          <w:rFonts w:ascii="Arial" w:hAnsi="Arial" w:cs="Arial"/>
          <w:color w:val="000000" w:themeColor="text1"/>
          <w:lang w:val="es-ES_tradnl"/>
        </w:rPr>
      </w:pPr>
      <w:r w:rsidRPr="00B514AD">
        <w:rPr>
          <w:rFonts w:ascii="Arial" w:hAnsi="Arial" w:cs="Arial"/>
          <w:color w:val="000000" w:themeColor="text1"/>
          <w:lang w:val="es-ES_tradnl"/>
        </w:rPr>
        <w:t xml:space="preserve"> </w:t>
      </w:r>
    </w:p>
    <w:p w:rsidR="00266569" w:rsidRPr="00B514AD" w:rsidRDefault="00C24420" w:rsidP="00FD487C">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SÍNTESIS</w:t>
      </w:r>
      <w:r w:rsidR="00162E8F">
        <w:rPr>
          <w:rFonts w:ascii="Arial" w:hAnsi="Arial" w:cs="Arial"/>
          <w:b/>
          <w:color w:val="000000" w:themeColor="text1"/>
          <w:lang w:val="es-ES_tradnl"/>
        </w:rPr>
        <w:t xml:space="preserve"> DE LOS</w:t>
      </w:r>
      <w:r w:rsidR="00266569" w:rsidRPr="00B514AD">
        <w:rPr>
          <w:rFonts w:ascii="Arial" w:hAnsi="Arial" w:cs="Arial"/>
          <w:b/>
          <w:color w:val="000000" w:themeColor="text1"/>
          <w:lang w:val="es-ES_tradnl"/>
        </w:rPr>
        <w:t xml:space="preserve"> PROYECTO</w:t>
      </w:r>
      <w:r w:rsidR="00162E8F">
        <w:rPr>
          <w:rFonts w:ascii="Arial" w:hAnsi="Arial" w:cs="Arial"/>
          <w:b/>
          <w:color w:val="000000" w:themeColor="text1"/>
          <w:lang w:val="es-ES_tradnl"/>
        </w:rPr>
        <w:t>S</w:t>
      </w:r>
      <w:r w:rsidR="00266569" w:rsidRPr="00B514AD">
        <w:rPr>
          <w:rFonts w:ascii="Arial" w:hAnsi="Arial" w:cs="Arial"/>
          <w:b/>
          <w:color w:val="000000" w:themeColor="text1"/>
          <w:lang w:val="es-ES_tradnl"/>
        </w:rPr>
        <w:t xml:space="preserve">                                          </w:t>
      </w:r>
    </w:p>
    <w:p w:rsidR="00460D46" w:rsidRPr="00B514AD" w:rsidRDefault="00460D46" w:rsidP="00FD487C">
      <w:pPr>
        <w:spacing w:after="0" w:line="240" w:lineRule="auto"/>
        <w:ind w:left="708"/>
        <w:jc w:val="both"/>
        <w:rPr>
          <w:rFonts w:ascii="Arial" w:hAnsi="Arial" w:cs="Arial"/>
          <w:color w:val="000000" w:themeColor="text1"/>
        </w:rPr>
      </w:pPr>
    </w:p>
    <w:p w:rsidR="00984727" w:rsidRPr="00B514AD" w:rsidRDefault="00332F12" w:rsidP="00FB2319">
      <w:pPr>
        <w:spacing w:after="0" w:line="240" w:lineRule="auto"/>
        <w:jc w:val="both"/>
        <w:rPr>
          <w:rFonts w:ascii="Arial" w:hAnsi="Arial" w:cs="Arial"/>
        </w:rPr>
      </w:pPr>
      <w:r w:rsidRPr="00B514AD">
        <w:rPr>
          <w:rFonts w:ascii="Arial" w:hAnsi="Arial" w:cs="Arial"/>
          <w:color w:val="000000" w:themeColor="text1"/>
        </w:rPr>
        <w:t xml:space="preserve">A través de </w:t>
      </w:r>
      <w:r w:rsidR="005A7E50" w:rsidRPr="00B514AD">
        <w:rPr>
          <w:rFonts w:ascii="Arial" w:hAnsi="Arial" w:cs="Arial"/>
          <w:color w:val="000000" w:themeColor="text1"/>
        </w:rPr>
        <w:t>este</w:t>
      </w:r>
      <w:r w:rsidRPr="00B514AD">
        <w:rPr>
          <w:rFonts w:ascii="Arial" w:hAnsi="Arial" w:cs="Arial"/>
          <w:color w:val="000000" w:themeColor="text1"/>
        </w:rPr>
        <w:t xml:space="preserve"> proyecto de </w:t>
      </w:r>
      <w:r w:rsidR="005A7E50" w:rsidRPr="00B514AD">
        <w:rPr>
          <w:rFonts w:ascii="Arial" w:hAnsi="Arial" w:cs="Arial"/>
          <w:color w:val="000000" w:themeColor="text1"/>
        </w:rPr>
        <w:t xml:space="preserve">Ley </w:t>
      </w:r>
      <w:r w:rsidR="003A43F0" w:rsidRPr="00B514AD">
        <w:rPr>
          <w:rFonts w:ascii="Arial" w:hAnsi="Arial" w:cs="Arial"/>
          <w:color w:val="000000" w:themeColor="text1"/>
        </w:rPr>
        <w:t xml:space="preserve">se busca, ampliar por un </w:t>
      </w:r>
      <w:r w:rsidR="00EB0F5C" w:rsidRPr="00B514AD">
        <w:rPr>
          <w:rFonts w:ascii="Arial" w:hAnsi="Arial" w:cs="Arial"/>
          <w:color w:val="000000" w:themeColor="text1"/>
        </w:rPr>
        <w:t>término</w:t>
      </w:r>
      <w:r w:rsidR="003A43F0" w:rsidRPr="00B514AD">
        <w:rPr>
          <w:rFonts w:ascii="Arial" w:hAnsi="Arial" w:cs="Arial"/>
          <w:color w:val="000000" w:themeColor="text1"/>
        </w:rPr>
        <w:t xml:space="preserve"> de 10 años la ley 1448 </w:t>
      </w:r>
      <w:r w:rsidR="003A43F0" w:rsidRPr="00162E8F">
        <w:rPr>
          <w:rFonts w:ascii="Arial" w:hAnsi="Arial" w:cs="Arial"/>
          <w:color w:val="000000" w:themeColor="text1"/>
        </w:rPr>
        <w:t xml:space="preserve">de 2011, </w:t>
      </w:r>
      <w:r w:rsidR="003A43F0" w:rsidRPr="00162E8F">
        <w:rPr>
          <w:rFonts w:ascii="Arial" w:hAnsi="Arial" w:cs="Arial"/>
        </w:rPr>
        <w:t>Por la cual se dictan medidas de atención, asistencia y reparación integral a las víctimas del conflicto armado interno y se dictan otras disposiciones”</w:t>
      </w:r>
      <w:r w:rsidR="00162E8F" w:rsidRPr="00162E8F">
        <w:rPr>
          <w:rFonts w:ascii="Arial" w:hAnsi="Arial" w:cs="Arial"/>
        </w:rPr>
        <w:t xml:space="preserve">, </w:t>
      </w:r>
      <w:r w:rsidR="00162E8F" w:rsidRPr="00162E8F">
        <w:rPr>
          <w:rFonts w:ascii="Arial" w:hAnsi="Arial" w:cs="Arial"/>
          <w:color w:val="000000" w:themeColor="text1"/>
          <w:lang w:val="es-ES_tradnl"/>
        </w:rPr>
        <w:t>del Decreto Ley 4633 de 2011 “</w:t>
      </w:r>
      <w:r w:rsidR="00162E8F" w:rsidRPr="00162E8F">
        <w:rPr>
          <w:rFonts w:ascii="Arial" w:hAnsi="Arial" w:cs="Arial"/>
          <w:color w:val="222222"/>
          <w:shd w:val="clear" w:color="auto" w:fill="FFFFFF"/>
        </w:rPr>
        <w:t>Por medio del cual se dictan medidas de asistencia, atención, reparación integral y de restitución de derechos territoriales a las víctimas pertenecientes a los pueblos y comunidades indígenas”</w:t>
      </w:r>
      <w:r w:rsidR="00162E8F" w:rsidRPr="00162E8F">
        <w:rPr>
          <w:rFonts w:ascii="Arial" w:hAnsi="Arial" w:cs="Arial"/>
          <w:color w:val="000000" w:themeColor="text1"/>
          <w:lang w:val="es-ES_tradnl"/>
        </w:rPr>
        <w:t>, del Decreto Ley 4634 de 2011 “P</w:t>
      </w:r>
      <w:r w:rsidR="00162E8F" w:rsidRPr="00162E8F">
        <w:rPr>
          <w:rFonts w:ascii="Arial" w:hAnsi="Arial" w:cs="Arial"/>
          <w:color w:val="333333"/>
          <w:shd w:val="clear" w:color="auto" w:fill="FFFFFF"/>
        </w:rPr>
        <w:t>or el cual se dictan medidas de Asistencia, Atención, Reparación Integral y Restitución de Tierras a las víctimas pertenecientes al pueblo Rrom o Gitano”.</w:t>
      </w:r>
      <w:r w:rsidR="00162E8F" w:rsidRPr="00162E8F">
        <w:rPr>
          <w:rFonts w:ascii="Arial" w:hAnsi="Arial" w:cs="Arial"/>
          <w:color w:val="000000" w:themeColor="text1"/>
          <w:lang w:val="es-ES_tradnl"/>
        </w:rPr>
        <w:t>, y del Decreto Ley 4635 de 2011 “P</w:t>
      </w:r>
      <w:r w:rsidR="00162E8F" w:rsidRPr="00162E8F">
        <w:rPr>
          <w:rFonts w:ascii="Arial" w:hAnsi="Arial" w:cs="Arial"/>
          <w:color w:val="333333"/>
          <w:shd w:val="clear" w:color="auto" w:fill="FFFFFF"/>
        </w:rPr>
        <w:t>or el cual se dictan medidas de asistencia, atención, reparación integral y de restitución de tierras a las víctimas pertenecientes a comunidades negras, afrocolombianas, raizales y palenqueras”</w:t>
      </w:r>
      <w:r w:rsidR="003A43F0" w:rsidRPr="00162E8F">
        <w:rPr>
          <w:rFonts w:ascii="Arial" w:hAnsi="Arial" w:cs="Arial"/>
        </w:rPr>
        <w:t>, en</w:t>
      </w:r>
      <w:r w:rsidR="003A43F0" w:rsidRPr="00B514AD">
        <w:rPr>
          <w:rFonts w:ascii="Arial" w:hAnsi="Arial" w:cs="Arial"/>
        </w:rPr>
        <w:t xml:space="preserve"> cuanto a que las herramientas ahí consignadas </w:t>
      </w:r>
      <w:r w:rsidR="00EB0F5C" w:rsidRPr="00B514AD">
        <w:rPr>
          <w:rFonts w:ascii="Arial" w:hAnsi="Arial" w:cs="Arial"/>
        </w:rPr>
        <w:t>aún</w:t>
      </w:r>
      <w:r w:rsidR="003A43F0" w:rsidRPr="00B514AD">
        <w:rPr>
          <w:rFonts w:ascii="Arial" w:hAnsi="Arial" w:cs="Arial"/>
        </w:rPr>
        <w:t xml:space="preserve"> no ha logrado atender, asistir y reparar a las </w:t>
      </w:r>
      <w:r w:rsidR="00EB0F5C" w:rsidRPr="00B514AD">
        <w:rPr>
          <w:rFonts w:ascii="Arial" w:hAnsi="Arial" w:cs="Arial"/>
        </w:rPr>
        <w:t>víctimas</w:t>
      </w:r>
      <w:r w:rsidR="003A43F0" w:rsidRPr="00B514AD">
        <w:rPr>
          <w:rFonts w:ascii="Arial" w:hAnsi="Arial" w:cs="Arial"/>
        </w:rPr>
        <w:t xml:space="preserve"> del conflicto armado, por lo cual se hace necesario ampliar el termino para </w:t>
      </w:r>
      <w:r w:rsidR="00EB0F5C" w:rsidRPr="00B514AD">
        <w:rPr>
          <w:rFonts w:ascii="Arial" w:hAnsi="Arial" w:cs="Arial"/>
        </w:rPr>
        <w:t>así</w:t>
      </w:r>
      <w:r w:rsidR="003A43F0" w:rsidRPr="00B514AD">
        <w:rPr>
          <w:rFonts w:ascii="Arial" w:hAnsi="Arial" w:cs="Arial"/>
        </w:rPr>
        <w:t xml:space="preserve"> cumplir con la expectativa de cerca de 8 millones de </w:t>
      </w:r>
      <w:r w:rsidR="00EB0F5C" w:rsidRPr="00B514AD">
        <w:rPr>
          <w:rFonts w:ascii="Arial" w:hAnsi="Arial" w:cs="Arial"/>
        </w:rPr>
        <w:t>víctimas</w:t>
      </w:r>
      <w:r w:rsidR="003A43F0" w:rsidRPr="00B514AD">
        <w:rPr>
          <w:rFonts w:ascii="Arial" w:hAnsi="Arial" w:cs="Arial"/>
        </w:rPr>
        <w:t xml:space="preserve"> en Colombia. </w:t>
      </w:r>
    </w:p>
    <w:p w:rsidR="003A43F0" w:rsidRPr="00B514AD" w:rsidRDefault="003A43F0" w:rsidP="00FD487C">
      <w:pPr>
        <w:spacing w:after="0" w:line="240" w:lineRule="auto"/>
        <w:ind w:left="708"/>
        <w:jc w:val="both"/>
        <w:rPr>
          <w:rFonts w:ascii="Arial" w:hAnsi="Arial" w:cs="Arial"/>
          <w:color w:val="000000" w:themeColor="text1"/>
        </w:rPr>
      </w:pPr>
    </w:p>
    <w:p w:rsidR="00266569" w:rsidRPr="00B514AD" w:rsidRDefault="00266569"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TRÁMITE DE</w:t>
      </w:r>
      <w:r w:rsidR="00162E8F">
        <w:rPr>
          <w:rFonts w:ascii="Arial" w:hAnsi="Arial" w:cs="Arial"/>
          <w:b/>
          <w:color w:val="000000" w:themeColor="text1"/>
          <w:lang w:val="es-ES_tradnl"/>
        </w:rPr>
        <w:t xml:space="preserve"> </w:t>
      </w:r>
      <w:r w:rsidRPr="00B514AD">
        <w:rPr>
          <w:rFonts w:ascii="Arial" w:hAnsi="Arial" w:cs="Arial"/>
          <w:b/>
          <w:color w:val="000000" w:themeColor="text1"/>
          <w:lang w:val="es-ES_tradnl"/>
        </w:rPr>
        <w:t>L</w:t>
      </w:r>
      <w:r w:rsidR="00162E8F">
        <w:rPr>
          <w:rFonts w:ascii="Arial" w:hAnsi="Arial" w:cs="Arial"/>
          <w:b/>
          <w:color w:val="000000" w:themeColor="text1"/>
          <w:lang w:val="es-ES_tradnl"/>
        </w:rPr>
        <w:t>OS</w:t>
      </w:r>
      <w:r w:rsidRPr="00B514AD">
        <w:rPr>
          <w:rFonts w:ascii="Arial" w:hAnsi="Arial" w:cs="Arial"/>
          <w:b/>
          <w:color w:val="000000" w:themeColor="text1"/>
          <w:lang w:val="es-ES_tradnl"/>
        </w:rPr>
        <w:t xml:space="preserve"> PROYECTO</w:t>
      </w:r>
      <w:r w:rsidR="00162E8F">
        <w:rPr>
          <w:rFonts w:ascii="Arial" w:hAnsi="Arial" w:cs="Arial"/>
          <w:b/>
          <w:color w:val="000000" w:themeColor="text1"/>
          <w:lang w:val="es-ES_tradnl"/>
        </w:rPr>
        <w:t>S</w:t>
      </w:r>
    </w:p>
    <w:p w:rsidR="00470129" w:rsidRDefault="00470129" w:rsidP="00FD487C">
      <w:pPr>
        <w:spacing w:after="0" w:line="240" w:lineRule="auto"/>
        <w:ind w:firstLine="708"/>
        <w:jc w:val="both"/>
        <w:rPr>
          <w:rFonts w:ascii="Arial" w:hAnsi="Arial" w:cs="Arial"/>
          <w:b/>
          <w:color w:val="000000" w:themeColor="text1"/>
          <w:lang w:val="es-ES_tradnl"/>
        </w:rPr>
      </w:pPr>
    </w:p>
    <w:p w:rsidR="00162E8F" w:rsidRPr="00B514AD" w:rsidRDefault="00162E8F" w:rsidP="00162E8F">
      <w:pPr>
        <w:spacing w:after="0" w:line="240" w:lineRule="auto"/>
        <w:ind w:firstLine="708"/>
        <w:jc w:val="center"/>
        <w:rPr>
          <w:rFonts w:ascii="Arial" w:hAnsi="Arial" w:cs="Arial"/>
          <w:b/>
          <w:color w:val="000000" w:themeColor="text1"/>
          <w:lang w:val="es-ES_tradnl"/>
        </w:rPr>
      </w:pPr>
      <w:r>
        <w:rPr>
          <w:rFonts w:ascii="Arial" w:hAnsi="Arial" w:cs="Arial"/>
          <w:b/>
          <w:color w:val="000000" w:themeColor="text1"/>
          <w:lang w:val="es-ES_tradnl"/>
        </w:rPr>
        <w:t>Proyecto de Ley 199 de 2019</w:t>
      </w:r>
      <w:r w:rsidR="00983D0B">
        <w:rPr>
          <w:rFonts w:ascii="Arial" w:hAnsi="Arial" w:cs="Arial"/>
          <w:b/>
          <w:color w:val="000000" w:themeColor="text1"/>
          <w:lang w:val="es-ES_tradnl"/>
        </w:rPr>
        <w:t xml:space="preserve"> Cámara</w:t>
      </w:r>
    </w:p>
    <w:p w:rsidR="00266569" w:rsidRPr="00B514AD" w:rsidRDefault="00266569" w:rsidP="00FB2319">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t>Origen</w:t>
      </w:r>
      <w:r w:rsidR="00F02272" w:rsidRPr="00B514AD">
        <w:rPr>
          <w:rFonts w:ascii="Arial" w:hAnsi="Arial" w:cs="Arial"/>
          <w:b/>
          <w:color w:val="000000" w:themeColor="text1"/>
          <w:lang w:val="es-ES_tradnl"/>
        </w:rPr>
        <w:t>:</w:t>
      </w:r>
      <w:r w:rsidR="001962D7" w:rsidRPr="00B514AD">
        <w:rPr>
          <w:rFonts w:ascii="Arial" w:hAnsi="Arial" w:cs="Arial"/>
          <w:b/>
          <w:color w:val="000000" w:themeColor="text1"/>
          <w:lang w:val="es-ES_tradnl"/>
        </w:rPr>
        <w:t xml:space="preserve"> </w:t>
      </w:r>
      <w:r w:rsidR="00254FFE" w:rsidRPr="00B514AD">
        <w:rPr>
          <w:rFonts w:ascii="Arial" w:hAnsi="Arial" w:cs="Arial"/>
          <w:color w:val="000000" w:themeColor="text1"/>
          <w:lang w:val="es-ES_tradnl"/>
        </w:rPr>
        <w:t>Congresional</w:t>
      </w:r>
      <w:r w:rsidR="00C24420" w:rsidRPr="00B514AD">
        <w:rPr>
          <w:rFonts w:ascii="Arial" w:hAnsi="Arial" w:cs="Arial"/>
          <w:color w:val="000000" w:themeColor="text1"/>
          <w:lang w:val="es-ES_tradnl"/>
        </w:rPr>
        <w:t>.</w:t>
      </w:r>
    </w:p>
    <w:p w:rsidR="00D86A1C" w:rsidRPr="00B514AD" w:rsidRDefault="00D86A1C" w:rsidP="00FD487C">
      <w:pPr>
        <w:spacing w:after="0" w:line="240" w:lineRule="auto"/>
        <w:ind w:firstLine="708"/>
        <w:jc w:val="both"/>
        <w:rPr>
          <w:rFonts w:ascii="Arial" w:hAnsi="Arial" w:cs="Arial"/>
          <w:b/>
          <w:color w:val="000000" w:themeColor="text1"/>
          <w:lang w:val="es-ES_tradnl"/>
        </w:rPr>
      </w:pPr>
    </w:p>
    <w:p w:rsidR="00D66D12" w:rsidRPr="00B514AD" w:rsidRDefault="00266569" w:rsidP="00FB2319">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t>Autor</w:t>
      </w:r>
      <w:r w:rsidR="00254FFE" w:rsidRPr="00B514AD">
        <w:rPr>
          <w:rFonts w:ascii="Arial" w:hAnsi="Arial" w:cs="Arial"/>
          <w:b/>
          <w:color w:val="000000" w:themeColor="text1"/>
          <w:lang w:val="es-ES_tradnl"/>
        </w:rPr>
        <w:t>es</w:t>
      </w:r>
      <w:r w:rsidR="001962D7" w:rsidRPr="00B514AD">
        <w:rPr>
          <w:rFonts w:ascii="Arial" w:hAnsi="Arial" w:cs="Arial"/>
          <w:b/>
          <w:color w:val="000000" w:themeColor="text1"/>
          <w:lang w:val="es-ES_tradnl"/>
        </w:rPr>
        <w:t>:</w:t>
      </w:r>
      <w:r w:rsidR="00677FEE" w:rsidRPr="00B514AD">
        <w:rPr>
          <w:rFonts w:ascii="Arial" w:hAnsi="Arial" w:cs="Arial"/>
          <w:b/>
          <w:color w:val="000000" w:themeColor="text1"/>
          <w:lang w:val="es-ES_tradnl"/>
        </w:rPr>
        <w:t xml:space="preserve"> </w:t>
      </w:r>
      <w:r w:rsidR="005A7E50" w:rsidRPr="00B514AD">
        <w:rPr>
          <w:rFonts w:ascii="Arial" w:hAnsi="Arial" w:cs="Arial"/>
          <w:color w:val="000000" w:themeColor="text1"/>
          <w:lang w:val="es-ES_tradnl"/>
        </w:rPr>
        <w:t>H.R.</w:t>
      </w:r>
      <w:r w:rsidR="003449F1" w:rsidRPr="00B514AD">
        <w:rPr>
          <w:rFonts w:ascii="Arial" w:hAnsi="Arial" w:cs="Arial"/>
          <w:color w:val="000000" w:themeColor="text1"/>
          <w:lang w:val="es-ES_tradnl"/>
        </w:rPr>
        <w:t xml:space="preserve"> </w:t>
      </w:r>
      <w:r w:rsidR="003A43F0" w:rsidRPr="00B514AD">
        <w:rPr>
          <w:rFonts w:ascii="Arial" w:hAnsi="Arial" w:cs="Arial"/>
          <w:color w:val="000000" w:themeColor="text1"/>
          <w:lang w:val="es-ES_tradnl"/>
        </w:rPr>
        <w:t xml:space="preserve">John Jairo Hoyos </w:t>
      </w:r>
      <w:r w:rsidR="00EB0F5C" w:rsidRPr="00B514AD">
        <w:rPr>
          <w:rFonts w:ascii="Arial" w:hAnsi="Arial" w:cs="Arial"/>
          <w:color w:val="000000" w:themeColor="text1"/>
          <w:lang w:val="es-ES_tradnl"/>
        </w:rPr>
        <w:t>García</w:t>
      </w:r>
      <w:r w:rsidR="003A43F0" w:rsidRPr="00B514AD">
        <w:rPr>
          <w:rFonts w:ascii="Arial" w:hAnsi="Arial" w:cs="Arial"/>
          <w:color w:val="000000" w:themeColor="text1"/>
          <w:lang w:val="es-ES_tradnl"/>
        </w:rPr>
        <w:t xml:space="preserve"> </w:t>
      </w:r>
    </w:p>
    <w:p w:rsidR="00D86A1C" w:rsidRPr="00B514AD" w:rsidRDefault="00D86A1C" w:rsidP="0048034C">
      <w:pPr>
        <w:spacing w:after="0" w:line="240" w:lineRule="auto"/>
        <w:ind w:left="708"/>
        <w:jc w:val="both"/>
        <w:rPr>
          <w:rFonts w:ascii="Arial" w:hAnsi="Arial" w:cs="Arial"/>
          <w:color w:val="000000" w:themeColor="text1"/>
          <w:lang w:val="es-ES_tradnl"/>
        </w:rPr>
      </w:pPr>
    </w:p>
    <w:p w:rsidR="00266569" w:rsidRPr="00B514AD" w:rsidRDefault="0086538E" w:rsidP="00FB2319">
      <w:pPr>
        <w:pStyle w:val="Listavistosa-nfasis11"/>
        <w:spacing w:after="0" w:line="240" w:lineRule="auto"/>
        <w:ind w:left="0"/>
        <w:jc w:val="both"/>
        <w:rPr>
          <w:rFonts w:ascii="Arial" w:hAnsi="Arial" w:cs="Arial"/>
          <w:bCs/>
          <w:color w:val="000000" w:themeColor="text1"/>
          <w:spacing w:val="-3"/>
        </w:rPr>
      </w:pPr>
      <w:r w:rsidRPr="00B514AD">
        <w:rPr>
          <w:rFonts w:ascii="Arial" w:hAnsi="Arial" w:cs="Arial"/>
          <w:b/>
          <w:color w:val="000000" w:themeColor="text1"/>
          <w:lang w:val="es-ES_tradnl"/>
        </w:rPr>
        <w:t>Proyecto</w:t>
      </w:r>
      <w:r w:rsidR="00FE099A" w:rsidRPr="00B514AD">
        <w:rPr>
          <w:rFonts w:ascii="Arial" w:hAnsi="Arial" w:cs="Arial"/>
          <w:b/>
          <w:color w:val="000000" w:themeColor="text1"/>
          <w:lang w:val="es-ES_tradnl"/>
        </w:rPr>
        <w:t>s</w:t>
      </w:r>
      <w:r w:rsidRPr="00B514AD">
        <w:rPr>
          <w:rFonts w:ascii="Arial" w:hAnsi="Arial" w:cs="Arial"/>
          <w:b/>
          <w:color w:val="000000" w:themeColor="text1"/>
          <w:lang w:val="es-ES_tradnl"/>
        </w:rPr>
        <w:t xml:space="preserve"> </w:t>
      </w:r>
      <w:r w:rsidR="00266569" w:rsidRPr="00B514AD">
        <w:rPr>
          <w:rFonts w:ascii="Arial" w:hAnsi="Arial" w:cs="Arial"/>
          <w:b/>
          <w:color w:val="000000" w:themeColor="text1"/>
          <w:lang w:val="es-ES_tradnl"/>
        </w:rPr>
        <w:t>Publicado</w:t>
      </w:r>
      <w:r w:rsidR="00FE099A" w:rsidRPr="00B514AD">
        <w:rPr>
          <w:rFonts w:ascii="Arial" w:hAnsi="Arial" w:cs="Arial"/>
          <w:b/>
          <w:color w:val="000000" w:themeColor="text1"/>
          <w:lang w:val="es-ES_tradnl"/>
        </w:rPr>
        <w:t>s</w:t>
      </w:r>
      <w:r w:rsidRPr="00B514AD">
        <w:rPr>
          <w:rFonts w:ascii="Arial" w:hAnsi="Arial" w:cs="Arial"/>
          <w:b/>
          <w:color w:val="000000" w:themeColor="text1"/>
          <w:lang w:val="es-ES_tradnl"/>
        </w:rPr>
        <w:t xml:space="preserve">: </w:t>
      </w:r>
      <w:r w:rsidRPr="00B514AD">
        <w:rPr>
          <w:rFonts w:ascii="Arial" w:hAnsi="Arial" w:cs="Arial"/>
          <w:color w:val="000000" w:themeColor="text1"/>
          <w:lang w:val="es-ES_tradnl"/>
        </w:rPr>
        <w:t>Gaceta</w:t>
      </w:r>
      <w:r w:rsidR="00FE099A" w:rsidRPr="00B514AD">
        <w:rPr>
          <w:rFonts w:ascii="Arial" w:hAnsi="Arial" w:cs="Arial"/>
          <w:color w:val="000000" w:themeColor="text1"/>
          <w:lang w:val="es-ES_tradnl"/>
        </w:rPr>
        <w:t>s</w:t>
      </w:r>
      <w:r w:rsidRPr="00B514AD">
        <w:rPr>
          <w:rFonts w:ascii="Arial" w:hAnsi="Arial" w:cs="Arial"/>
          <w:color w:val="000000" w:themeColor="text1"/>
          <w:lang w:val="es-ES_tradnl"/>
        </w:rPr>
        <w:t xml:space="preserve"> </w:t>
      </w:r>
      <w:r w:rsidR="00141EEB" w:rsidRPr="00B514AD">
        <w:rPr>
          <w:rFonts w:ascii="Arial" w:hAnsi="Arial" w:cs="Arial"/>
          <w:color w:val="000000" w:themeColor="text1"/>
          <w:lang w:val="es-ES_tradnl"/>
        </w:rPr>
        <w:t>965</w:t>
      </w:r>
      <w:r w:rsidR="003F6A08" w:rsidRPr="00B514AD">
        <w:rPr>
          <w:rFonts w:ascii="Arial" w:hAnsi="Arial" w:cs="Arial"/>
          <w:color w:val="000000" w:themeColor="text1"/>
          <w:lang w:val="es-ES_tradnl"/>
        </w:rPr>
        <w:t xml:space="preserve"> de 2019</w:t>
      </w:r>
      <w:r w:rsidR="00FE099A" w:rsidRPr="00B514AD">
        <w:rPr>
          <w:rFonts w:ascii="Arial" w:hAnsi="Arial" w:cs="Arial"/>
          <w:color w:val="000000" w:themeColor="text1"/>
          <w:lang w:val="es-ES_tradnl"/>
        </w:rPr>
        <w:t>.</w:t>
      </w:r>
    </w:p>
    <w:p w:rsidR="00162E8F" w:rsidRPr="00B514AD" w:rsidRDefault="00162E8F" w:rsidP="00162E8F">
      <w:pPr>
        <w:spacing w:after="0" w:line="240" w:lineRule="auto"/>
        <w:ind w:firstLine="708"/>
        <w:jc w:val="center"/>
        <w:rPr>
          <w:rFonts w:ascii="Arial" w:hAnsi="Arial" w:cs="Arial"/>
          <w:b/>
          <w:color w:val="000000" w:themeColor="text1"/>
          <w:lang w:val="es-ES_tradnl"/>
        </w:rPr>
      </w:pPr>
      <w:r>
        <w:rPr>
          <w:rFonts w:ascii="Arial" w:hAnsi="Arial" w:cs="Arial"/>
          <w:b/>
          <w:color w:val="000000" w:themeColor="text1"/>
          <w:lang w:val="es-ES_tradnl"/>
        </w:rPr>
        <w:lastRenderedPageBreak/>
        <w:t>Proyecto de Ley 247 de 2019</w:t>
      </w:r>
      <w:r w:rsidR="00983D0B">
        <w:rPr>
          <w:rFonts w:ascii="Arial" w:hAnsi="Arial" w:cs="Arial"/>
          <w:b/>
          <w:color w:val="000000" w:themeColor="text1"/>
          <w:lang w:val="es-ES_tradnl"/>
        </w:rPr>
        <w:t xml:space="preserve"> Cámara</w:t>
      </w:r>
    </w:p>
    <w:p w:rsidR="00162E8F" w:rsidRPr="00B514AD" w:rsidRDefault="00162E8F" w:rsidP="00162E8F">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t xml:space="preserve">Origen: </w:t>
      </w:r>
      <w:r w:rsidRPr="00B514AD">
        <w:rPr>
          <w:rFonts w:ascii="Arial" w:hAnsi="Arial" w:cs="Arial"/>
          <w:color w:val="000000" w:themeColor="text1"/>
          <w:lang w:val="es-ES_tradnl"/>
        </w:rPr>
        <w:t>Congresional.</w:t>
      </w:r>
    </w:p>
    <w:p w:rsidR="00162E8F" w:rsidRPr="00B514AD" w:rsidRDefault="00162E8F" w:rsidP="00162E8F">
      <w:pPr>
        <w:spacing w:after="0" w:line="240" w:lineRule="auto"/>
        <w:ind w:firstLine="708"/>
        <w:jc w:val="both"/>
        <w:rPr>
          <w:rFonts w:ascii="Arial" w:hAnsi="Arial" w:cs="Arial"/>
          <w:b/>
          <w:color w:val="000000" w:themeColor="text1"/>
          <w:lang w:val="es-ES_tradnl"/>
        </w:rPr>
      </w:pPr>
    </w:p>
    <w:p w:rsidR="00162E8F" w:rsidRPr="00B514AD" w:rsidRDefault="00162E8F" w:rsidP="00162E8F">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t xml:space="preserve">Autores: </w:t>
      </w:r>
      <w:r w:rsidRPr="00B514AD">
        <w:rPr>
          <w:rFonts w:ascii="Arial" w:hAnsi="Arial" w:cs="Arial"/>
          <w:color w:val="000000" w:themeColor="text1"/>
          <w:lang w:val="es-ES_tradnl"/>
        </w:rPr>
        <w:t xml:space="preserve">H.R. </w:t>
      </w:r>
      <w:r w:rsidR="00983D0B">
        <w:rPr>
          <w:rFonts w:ascii="Arial" w:hAnsi="Arial" w:cs="Arial"/>
          <w:color w:val="000000" w:themeColor="text1"/>
          <w:lang w:val="es-ES_tradnl"/>
        </w:rPr>
        <w:t>María</w:t>
      </w:r>
      <w:r>
        <w:rPr>
          <w:rFonts w:ascii="Arial" w:hAnsi="Arial" w:cs="Arial"/>
          <w:color w:val="000000" w:themeColor="text1"/>
          <w:lang w:val="es-ES_tradnl"/>
        </w:rPr>
        <w:t xml:space="preserve"> </w:t>
      </w:r>
      <w:r w:rsidR="00983D0B">
        <w:rPr>
          <w:rFonts w:ascii="Arial" w:hAnsi="Arial" w:cs="Arial"/>
          <w:color w:val="000000" w:themeColor="text1"/>
          <w:lang w:val="es-ES_tradnl"/>
        </w:rPr>
        <w:t>José</w:t>
      </w:r>
      <w:r>
        <w:rPr>
          <w:rFonts w:ascii="Arial" w:hAnsi="Arial" w:cs="Arial"/>
          <w:color w:val="000000" w:themeColor="text1"/>
          <w:lang w:val="es-ES_tradnl"/>
        </w:rPr>
        <w:t xml:space="preserve"> Pizarro</w:t>
      </w:r>
      <w:r w:rsidRPr="00B514AD">
        <w:rPr>
          <w:rFonts w:ascii="Arial" w:hAnsi="Arial" w:cs="Arial"/>
          <w:color w:val="000000" w:themeColor="text1"/>
          <w:lang w:val="es-ES_tradnl"/>
        </w:rPr>
        <w:t xml:space="preserve"> </w:t>
      </w:r>
      <w:r w:rsidR="00983D0B">
        <w:rPr>
          <w:rFonts w:ascii="Arial" w:hAnsi="Arial" w:cs="Arial"/>
          <w:color w:val="000000" w:themeColor="text1"/>
          <w:lang w:val="es-ES_tradnl"/>
        </w:rPr>
        <w:t>Rodríguez</w:t>
      </w:r>
    </w:p>
    <w:p w:rsidR="00162E8F" w:rsidRPr="00B514AD" w:rsidRDefault="00162E8F" w:rsidP="00162E8F">
      <w:pPr>
        <w:spacing w:after="0" w:line="240" w:lineRule="auto"/>
        <w:ind w:left="708"/>
        <w:jc w:val="both"/>
        <w:rPr>
          <w:rFonts w:ascii="Arial" w:hAnsi="Arial" w:cs="Arial"/>
          <w:color w:val="000000" w:themeColor="text1"/>
          <w:lang w:val="es-ES_tradnl"/>
        </w:rPr>
      </w:pPr>
    </w:p>
    <w:p w:rsidR="00162E8F" w:rsidRPr="00B514AD" w:rsidRDefault="00162E8F" w:rsidP="00162E8F">
      <w:pPr>
        <w:pStyle w:val="Listavistosa-nfasis11"/>
        <w:spacing w:after="0" w:line="240" w:lineRule="auto"/>
        <w:ind w:left="0"/>
        <w:jc w:val="both"/>
        <w:rPr>
          <w:rFonts w:ascii="Arial" w:hAnsi="Arial" w:cs="Arial"/>
          <w:bCs/>
          <w:color w:val="000000" w:themeColor="text1"/>
          <w:spacing w:val="-3"/>
        </w:rPr>
      </w:pPr>
      <w:r w:rsidRPr="00B514AD">
        <w:rPr>
          <w:rFonts w:ascii="Arial" w:hAnsi="Arial" w:cs="Arial"/>
          <w:b/>
          <w:color w:val="000000" w:themeColor="text1"/>
          <w:lang w:val="es-ES_tradnl"/>
        </w:rPr>
        <w:t xml:space="preserve">Proyectos Publicados: </w:t>
      </w:r>
      <w:r w:rsidRPr="00B514AD">
        <w:rPr>
          <w:rFonts w:ascii="Arial" w:hAnsi="Arial" w:cs="Arial"/>
          <w:color w:val="000000" w:themeColor="text1"/>
          <w:lang w:val="es-ES_tradnl"/>
        </w:rPr>
        <w:t>Gacetas 96</w:t>
      </w:r>
      <w:r>
        <w:rPr>
          <w:rFonts w:ascii="Arial" w:hAnsi="Arial" w:cs="Arial"/>
          <w:color w:val="000000" w:themeColor="text1"/>
          <w:lang w:val="es-ES_tradnl"/>
        </w:rPr>
        <w:t>1</w:t>
      </w:r>
      <w:r w:rsidRPr="00B514AD">
        <w:rPr>
          <w:rFonts w:ascii="Arial" w:hAnsi="Arial" w:cs="Arial"/>
          <w:color w:val="000000" w:themeColor="text1"/>
          <w:lang w:val="es-ES_tradnl"/>
        </w:rPr>
        <w:t xml:space="preserve"> de 2019.</w:t>
      </w:r>
    </w:p>
    <w:p w:rsidR="00984727" w:rsidRPr="00B514AD" w:rsidRDefault="00984727" w:rsidP="00FD487C">
      <w:pPr>
        <w:pStyle w:val="Listavistosa-nfasis11"/>
        <w:spacing w:after="0" w:line="240" w:lineRule="auto"/>
        <w:jc w:val="both"/>
        <w:rPr>
          <w:rFonts w:ascii="Arial" w:hAnsi="Arial" w:cs="Arial"/>
          <w:bCs/>
          <w:color w:val="000000" w:themeColor="text1"/>
          <w:spacing w:val="-3"/>
        </w:rPr>
      </w:pPr>
    </w:p>
    <w:p w:rsidR="00266569" w:rsidRPr="00B514AD" w:rsidRDefault="00266569" w:rsidP="00162E8F">
      <w:pPr>
        <w:pStyle w:val="Listavistosa-nfasis11"/>
        <w:pBdr>
          <w:top w:val="single" w:sz="4" w:space="1" w:color="auto"/>
          <w:left w:val="single" w:sz="4" w:space="31"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COMPETENCIA Y ASIGNACIÓN DE PONENCIA</w:t>
      </w:r>
    </w:p>
    <w:p w:rsidR="00204AB3" w:rsidRPr="00B514AD" w:rsidRDefault="00204AB3" w:rsidP="00FD487C">
      <w:pPr>
        <w:pStyle w:val="Listavistosa-nfasis11"/>
        <w:spacing w:after="0" w:line="240" w:lineRule="auto"/>
        <w:jc w:val="both"/>
        <w:rPr>
          <w:rFonts w:ascii="Arial" w:hAnsi="Arial" w:cs="Arial"/>
          <w:b/>
          <w:color w:val="000000" w:themeColor="text1"/>
          <w:lang w:val="es-ES_tradnl"/>
        </w:rPr>
      </w:pPr>
    </w:p>
    <w:p w:rsidR="003A2C20" w:rsidRPr="00B514AD" w:rsidRDefault="00984727" w:rsidP="00FB2319">
      <w:pPr>
        <w:spacing w:after="0" w:line="240" w:lineRule="auto"/>
        <w:jc w:val="both"/>
        <w:rPr>
          <w:rFonts w:ascii="Arial" w:hAnsi="Arial" w:cs="Arial"/>
          <w:color w:val="000000" w:themeColor="text1"/>
          <w:lang w:val="es-ES_tradnl"/>
        </w:rPr>
      </w:pPr>
      <w:r w:rsidRPr="00B514AD">
        <w:rPr>
          <w:rFonts w:ascii="Arial" w:hAnsi="Arial" w:cs="Arial"/>
          <w:color w:val="000000" w:themeColor="text1"/>
        </w:rPr>
        <w:t>C</w:t>
      </w:r>
      <w:r w:rsidR="00266569" w:rsidRPr="00B514AD">
        <w:rPr>
          <w:rFonts w:ascii="Arial" w:hAnsi="Arial" w:cs="Arial"/>
          <w:color w:val="000000" w:themeColor="text1"/>
        </w:rPr>
        <w:t>onforme a lo expresado en el art</w:t>
      </w:r>
      <w:r w:rsidR="007917CB" w:rsidRPr="00B514AD">
        <w:rPr>
          <w:rFonts w:ascii="Arial" w:hAnsi="Arial" w:cs="Arial"/>
          <w:color w:val="000000" w:themeColor="text1"/>
        </w:rPr>
        <w:t xml:space="preserve">ículo 150 de la Ley 5ª de 1992, mediante comunicación de fecha </w:t>
      </w:r>
      <w:r w:rsidR="002247CD" w:rsidRPr="00B514AD">
        <w:rPr>
          <w:rFonts w:ascii="Arial" w:hAnsi="Arial" w:cs="Arial"/>
          <w:color w:val="000000" w:themeColor="text1"/>
        </w:rPr>
        <w:t>09</w:t>
      </w:r>
      <w:r w:rsidR="00FE099A" w:rsidRPr="00B514AD">
        <w:rPr>
          <w:rFonts w:ascii="Arial" w:hAnsi="Arial" w:cs="Arial"/>
          <w:color w:val="000000" w:themeColor="text1"/>
        </w:rPr>
        <w:t xml:space="preserve"> de </w:t>
      </w:r>
      <w:r w:rsidR="000174D2" w:rsidRPr="00B514AD">
        <w:rPr>
          <w:rFonts w:ascii="Arial" w:hAnsi="Arial" w:cs="Arial"/>
          <w:color w:val="000000" w:themeColor="text1"/>
        </w:rPr>
        <w:t>septiembre</w:t>
      </w:r>
      <w:r w:rsidR="003F6A08" w:rsidRPr="00B514AD">
        <w:rPr>
          <w:rFonts w:ascii="Arial" w:hAnsi="Arial" w:cs="Arial"/>
          <w:color w:val="000000" w:themeColor="text1"/>
        </w:rPr>
        <w:t xml:space="preserve"> </w:t>
      </w:r>
      <w:r w:rsidR="005A7E50" w:rsidRPr="00B514AD">
        <w:rPr>
          <w:rFonts w:ascii="Arial" w:hAnsi="Arial" w:cs="Arial"/>
          <w:color w:val="000000" w:themeColor="text1"/>
        </w:rPr>
        <w:t>d</w:t>
      </w:r>
      <w:r w:rsidR="00FE099A" w:rsidRPr="00B514AD">
        <w:rPr>
          <w:rFonts w:ascii="Arial" w:hAnsi="Arial" w:cs="Arial"/>
          <w:color w:val="000000" w:themeColor="text1"/>
        </w:rPr>
        <w:t>e 201</w:t>
      </w:r>
      <w:r w:rsidR="00EB0F5C" w:rsidRPr="00B514AD">
        <w:rPr>
          <w:rFonts w:ascii="Arial" w:hAnsi="Arial" w:cs="Arial"/>
          <w:color w:val="000000" w:themeColor="text1"/>
        </w:rPr>
        <w:t>9</w:t>
      </w:r>
      <w:r w:rsidR="00FE099A" w:rsidRPr="00B514AD">
        <w:rPr>
          <w:rFonts w:ascii="Arial" w:hAnsi="Arial" w:cs="Arial"/>
          <w:color w:val="000000" w:themeColor="text1"/>
        </w:rPr>
        <w:t xml:space="preserve"> y notificada el día </w:t>
      </w:r>
      <w:r w:rsidR="002247CD" w:rsidRPr="00B514AD">
        <w:rPr>
          <w:rFonts w:ascii="Arial" w:hAnsi="Arial" w:cs="Arial"/>
          <w:color w:val="000000" w:themeColor="text1"/>
        </w:rPr>
        <w:t>10</w:t>
      </w:r>
      <w:r w:rsidR="005A7E50" w:rsidRPr="00B514AD">
        <w:rPr>
          <w:rFonts w:ascii="Arial" w:hAnsi="Arial" w:cs="Arial"/>
          <w:color w:val="000000" w:themeColor="text1"/>
        </w:rPr>
        <w:t xml:space="preserve"> del mismo mes, fui</w:t>
      </w:r>
      <w:r w:rsidR="002247CD" w:rsidRPr="00B514AD">
        <w:rPr>
          <w:rFonts w:ascii="Arial" w:hAnsi="Arial" w:cs="Arial"/>
          <w:color w:val="000000" w:themeColor="text1"/>
        </w:rPr>
        <w:t xml:space="preserve">mos </w:t>
      </w:r>
      <w:r w:rsidR="00FE099A" w:rsidRPr="00B514AD">
        <w:rPr>
          <w:rFonts w:ascii="Arial" w:hAnsi="Arial" w:cs="Arial"/>
          <w:color w:val="000000" w:themeColor="text1"/>
        </w:rPr>
        <w:t>designado</w:t>
      </w:r>
      <w:r w:rsidR="002247CD" w:rsidRPr="00B514AD">
        <w:rPr>
          <w:rFonts w:ascii="Arial" w:hAnsi="Arial" w:cs="Arial"/>
          <w:color w:val="000000" w:themeColor="text1"/>
        </w:rPr>
        <w:t>s</w:t>
      </w:r>
      <w:r w:rsidR="005A7E50" w:rsidRPr="00B514AD">
        <w:rPr>
          <w:rFonts w:ascii="Arial" w:hAnsi="Arial" w:cs="Arial"/>
          <w:color w:val="000000" w:themeColor="text1"/>
        </w:rPr>
        <w:t xml:space="preserve"> ponente</w:t>
      </w:r>
      <w:r w:rsidR="002247CD" w:rsidRPr="00B514AD">
        <w:rPr>
          <w:rFonts w:ascii="Arial" w:hAnsi="Arial" w:cs="Arial"/>
          <w:color w:val="000000" w:themeColor="text1"/>
        </w:rPr>
        <w:t>s</w:t>
      </w:r>
      <w:r w:rsidR="00FE099A" w:rsidRPr="00B514AD">
        <w:rPr>
          <w:rFonts w:ascii="Arial" w:hAnsi="Arial" w:cs="Arial"/>
          <w:color w:val="000000" w:themeColor="text1"/>
        </w:rPr>
        <w:t xml:space="preserve"> de</w:t>
      </w:r>
      <w:r w:rsidR="005A7E50" w:rsidRPr="00B514AD">
        <w:rPr>
          <w:rFonts w:ascii="Arial" w:hAnsi="Arial" w:cs="Arial"/>
          <w:color w:val="000000" w:themeColor="text1"/>
        </w:rPr>
        <w:t>l</w:t>
      </w:r>
      <w:r w:rsidR="00FE099A" w:rsidRPr="00B514AD">
        <w:rPr>
          <w:rFonts w:ascii="Arial" w:hAnsi="Arial" w:cs="Arial"/>
          <w:color w:val="000000" w:themeColor="text1"/>
        </w:rPr>
        <w:t xml:space="preserve"> proyecto de </w:t>
      </w:r>
      <w:r w:rsidR="005A7E50" w:rsidRPr="00B514AD">
        <w:rPr>
          <w:rFonts w:ascii="Arial" w:hAnsi="Arial" w:cs="Arial"/>
          <w:color w:val="000000" w:themeColor="text1"/>
        </w:rPr>
        <w:t xml:space="preserve">Ley </w:t>
      </w:r>
      <w:r w:rsidR="002247CD" w:rsidRPr="00B514AD">
        <w:rPr>
          <w:rFonts w:ascii="Arial" w:hAnsi="Arial" w:cs="Arial"/>
          <w:color w:val="000000" w:themeColor="text1"/>
        </w:rPr>
        <w:t xml:space="preserve">de la referencia, John Jairo Hoyos </w:t>
      </w:r>
      <w:r w:rsidR="00CE5B12" w:rsidRPr="00B514AD">
        <w:rPr>
          <w:rFonts w:ascii="Arial" w:hAnsi="Arial" w:cs="Arial"/>
          <w:color w:val="000000" w:themeColor="text1"/>
        </w:rPr>
        <w:t>García</w:t>
      </w:r>
      <w:r w:rsidR="00F42431" w:rsidRPr="00B514AD">
        <w:rPr>
          <w:rFonts w:ascii="Arial" w:hAnsi="Arial" w:cs="Arial"/>
          <w:color w:val="000000" w:themeColor="text1"/>
        </w:rPr>
        <w:t xml:space="preserve">, Juan Carlos Lozada Vargas, </w:t>
      </w:r>
      <w:r w:rsidR="00CE5B12" w:rsidRPr="00B514AD">
        <w:rPr>
          <w:rFonts w:ascii="Arial" w:hAnsi="Arial" w:cs="Arial"/>
          <w:color w:val="000000" w:themeColor="text1"/>
        </w:rPr>
        <w:t>José</w:t>
      </w:r>
      <w:r w:rsidR="00F42431" w:rsidRPr="00B514AD">
        <w:rPr>
          <w:rFonts w:ascii="Arial" w:hAnsi="Arial" w:cs="Arial"/>
          <w:color w:val="000000" w:themeColor="text1"/>
        </w:rPr>
        <w:t xml:space="preserve"> Daniel</w:t>
      </w:r>
      <w:r w:rsidR="00CE5B12" w:rsidRPr="00B514AD">
        <w:rPr>
          <w:rFonts w:ascii="Arial" w:hAnsi="Arial" w:cs="Arial"/>
          <w:color w:val="000000" w:themeColor="text1"/>
        </w:rPr>
        <w:t xml:space="preserve"> López Jiménez, Buenaventura León </w:t>
      </w:r>
      <w:proofErr w:type="spellStart"/>
      <w:r w:rsidR="00CE5B12" w:rsidRPr="00B514AD">
        <w:rPr>
          <w:rFonts w:ascii="Arial" w:hAnsi="Arial" w:cs="Arial"/>
          <w:color w:val="000000" w:themeColor="text1"/>
        </w:rPr>
        <w:t>León</w:t>
      </w:r>
      <w:proofErr w:type="spellEnd"/>
      <w:r w:rsidR="00CE5B12" w:rsidRPr="00B514AD">
        <w:rPr>
          <w:rFonts w:ascii="Arial" w:hAnsi="Arial" w:cs="Arial"/>
          <w:color w:val="000000" w:themeColor="text1"/>
        </w:rPr>
        <w:t xml:space="preserve">, Juanita María Goebertus Estrada y Luis Alberto Albán Urbano. </w:t>
      </w:r>
    </w:p>
    <w:p w:rsidR="00984727" w:rsidRPr="00B514AD" w:rsidRDefault="00984727" w:rsidP="00FD487C">
      <w:pPr>
        <w:pStyle w:val="Listavistosa-nfasis11"/>
        <w:spacing w:after="0" w:line="240" w:lineRule="auto"/>
        <w:jc w:val="both"/>
        <w:rPr>
          <w:rFonts w:ascii="Arial" w:hAnsi="Arial" w:cs="Arial"/>
          <w:color w:val="000000" w:themeColor="text1"/>
          <w:lang w:val="es-ES_tradnl"/>
        </w:rPr>
      </w:pPr>
    </w:p>
    <w:p w:rsidR="00D86A1C" w:rsidRPr="00B514AD" w:rsidRDefault="007171E5" w:rsidP="00FB2319">
      <w:pPr>
        <w:pStyle w:val="Listavistosa-nfasis11"/>
        <w:spacing w:after="0" w:line="240" w:lineRule="auto"/>
        <w:ind w:left="0"/>
        <w:jc w:val="both"/>
        <w:rPr>
          <w:rFonts w:ascii="Arial" w:hAnsi="Arial" w:cs="Arial"/>
          <w:color w:val="000000" w:themeColor="text1"/>
          <w:lang w:val="es-ES_tradnl"/>
        </w:rPr>
      </w:pPr>
      <w:r w:rsidRPr="00B514AD">
        <w:rPr>
          <w:rFonts w:ascii="Arial" w:hAnsi="Arial" w:cs="Arial"/>
          <w:color w:val="000000" w:themeColor="text1"/>
          <w:lang w:val="es-ES_tradnl"/>
        </w:rPr>
        <w:t xml:space="preserve">El pasado 17 de </w:t>
      </w:r>
      <w:r w:rsidR="000174D2" w:rsidRPr="00B514AD">
        <w:rPr>
          <w:rFonts w:ascii="Arial" w:hAnsi="Arial" w:cs="Arial"/>
          <w:color w:val="000000" w:themeColor="text1"/>
          <w:lang w:val="es-ES_tradnl"/>
        </w:rPr>
        <w:t>septiembre</w:t>
      </w:r>
      <w:r w:rsidRPr="00B514AD">
        <w:rPr>
          <w:rFonts w:ascii="Arial" w:hAnsi="Arial" w:cs="Arial"/>
          <w:color w:val="000000" w:themeColor="text1"/>
          <w:lang w:val="es-ES_tradnl"/>
        </w:rPr>
        <w:t xml:space="preserve"> se aprobó proposición solicitando el desarrollo de audiencia pública en el marco del estudio del proyecto.</w:t>
      </w:r>
    </w:p>
    <w:p w:rsidR="00FB2319" w:rsidRPr="00B514AD" w:rsidRDefault="00FB2319" w:rsidP="00FB2319">
      <w:pPr>
        <w:pStyle w:val="Listavistosa-nfasis11"/>
        <w:spacing w:after="0" w:line="240" w:lineRule="auto"/>
        <w:ind w:left="0"/>
        <w:jc w:val="both"/>
        <w:rPr>
          <w:rFonts w:ascii="Arial" w:hAnsi="Arial" w:cs="Arial"/>
          <w:color w:val="000000" w:themeColor="text1"/>
          <w:lang w:val="es-ES_tradnl"/>
        </w:rPr>
      </w:pPr>
    </w:p>
    <w:p w:rsidR="00FB2319" w:rsidRPr="00B514AD" w:rsidRDefault="00FB2319" w:rsidP="00FB2319">
      <w:pPr>
        <w:pStyle w:val="Listavistosa-nfasis11"/>
        <w:spacing w:after="0" w:line="240" w:lineRule="auto"/>
        <w:ind w:left="0"/>
        <w:jc w:val="both"/>
        <w:rPr>
          <w:rFonts w:ascii="Arial" w:hAnsi="Arial" w:cs="Arial"/>
          <w:color w:val="000000" w:themeColor="text1"/>
          <w:lang w:val="es-ES_tradnl"/>
        </w:rPr>
      </w:pPr>
      <w:r w:rsidRPr="00B514AD">
        <w:rPr>
          <w:rFonts w:ascii="Arial" w:hAnsi="Arial" w:cs="Arial"/>
          <w:color w:val="000000" w:themeColor="text1"/>
          <w:lang w:val="es-ES_tradnl"/>
        </w:rPr>
        <w:t>Fue publicado el proyecto de ley número 199 de 2019 en la Gaceta 965 del 2 de octubre de 2019.</w:t>
      </w:r>
    </w:p>
    <w:p w:rsidR="007171E5" w:rsidRPr="00B514AD" w:rsidRDefault="007171E5" w:rsidP="00FB2319">
      <w:pPr>
        <w:pStyle w:val="Listavistosa-nfasis11"/>
        <w:spacing w:after="0" w:line="240" w:lineRule="auto"/>
        <w:ind w:left="0"/>
        <w:jc w:val="both"/>
        <w:rPr>
          <w:rFonts w:ascii="Arial" w:hAnsi="Arial" w:cs="Arial"/>
          <w:color w:val="000000" w:themeColor="text1"/>
          <w:lang w:val="es-ES_tradnl"/>
        </w:rPr>
      </w:pPr>
    </w:p>
    <w:p w:rsidR="007171E5" w:rsidRDefault="00EC2AF0" w:rsidP="00FB2319">
      <w:pPr>
        <w:pStyle w:val="Listavistosa-nfasis11"/>
        <w:spacing w:after="0" w:line="240" w:lineRule="auto"/>
        <w:ind w:left="0"/>
        <w:jc w:val="both"/>
        <w:rPr>
          <w:rFonts w:ascii="Arial" w:hAnsi="Arial" w:cs="Arial"/>
        </w:rPr>
      </w:pPr>
      <w:r w:rsidRPr="00B514AD">
        <w:rPr>
          <w:rFonts w:ascii="Arial" w:hAnsi="Arial" w:cs="Arial"/>
          <w:color w:val="000000" w:themeColor="text1"/>
          <w:lang w:val="es-ES_tradnl"/>
        </w:rPr>
        <w:t>El día 9 de octubre</w:t>
      </w:r>
      <w:r w:rsidR="007171E5" w:rsidRPr="00B514AD">
        <w:rPr>
          <w:rFonts w:ascii="Arial" w:hAnsi="Arial" w:cs="Arial"/>
          <w:color w:val="000000" w:themeColor="text1"/>
          <w:lang w:val="es-ES_tradnl"/>
        </w:rPr>
        <w:t xml:space="preserve"> se llevó acabo la audiencia pública</w:t>
      </w:r>
      <w:r w:rsidRPr="00B514AD">
        <w:rPr>
          <w:rFonts w:ascii="Arial" w:hAnsi="Arial" w:cs="Arial"/>
          <w:color w:val="000000" w:themeColor="text1"/>
          <w:lang w:val="es-ES_tradnl"/>
        </w:rPr>
        <w:t xml:space="preserve"> </w:t>
      </w:r>
      <w:r w:rsidRPr="00B514AD">
        <w:rPr>
          <w:rFonts w:ascii="Arial" w:hAnsi="Arial" w:cs="Arial"/>
        </w:rPr>
        <w:t xml:space="preserve">sobre el proyecto de Ley 199 de 2019 Cámara “Por medio de la cual modifica la ley 1448 de 2011 ampliando por 10 años la vigencia de la misma”. En ella pudo escucharse la opinión de distintas organizaciones del </w:t>
      </w:r>
      <w:r w:rsidR="000174D2" w:rsidRPr="00B514AD">
        <w:rPr>
          <w:rFonts w:ascii="Arial" w:hAnsi="Arial" w:cs="Arial"/>
        </w:rPr>
        <w:t>Estado,</w:t>
      </w:r>
      <w:r w:rsidRPr="00B514AD">
        <w:rPr>
          <w:rFonts w:ascii="Arial" w:hAnsi="Arial" w:cs="Arial"/>
        </w:rPr>
        <w:t xml:space="preserve"> así como de organizaciones de la sociedad civil sobre la necesidad de ampliar el plazo de vigencia de la Ley 1448 de 2011.</w:t>
      </w:r>
    </w:p>
    <w:p w:rsidR="00162E8F" w:rsidRDefault="00162E8F" w:rsidP="00FB2319">
      <w:pPr>
        <w:pStyle w:val="Listavistosa-nfasis11"/>
        <w:spacing w:after="0" w:line="240" w:lineRule="auto"/>
        <w:ind w:left="0"/>
        <w:jc w:val="both"/>
        <w:rPr>
          <w:rFonts w:ascii="Arial" w:hAnsi="Arial" w:cs="Arial"/>
        </w:rPr>
      </w:pPr>
    </w:p>
    <w:p w:rsidR="00162E8F" w:rsidRPr="005377EC" w:rsidRDefault="00162E8F" w:rsidP="005377EC">
      <w:pPr>
        <w:pStyle w:val="Listavistosa-nfasis11"/>
        <w:spacing w:after="0" w:line="240" w:lineRule="auto"/>
        <w:ind w:left="0"/>
        <w:jc w:val="both"/>
        <w:rPr>
          <w:rFonts w:ascii="Arial" w:hAnsi="Arial" w:cs="Arial"/>
          <w:color w:val="000000" w:themeColor="text1"/>
          <w:lang w:val="es-ES_tradnl"/>
        </w:rPr>
      </w:pPr>
      <w:r>
        <w:rPr>
          <w:rFonts w:ascii="Arial" w:hAnsi="Arial" w:cs="Arial"/>
        </w:rPr>
        <w:t xml:space="preserve">El 15 de </w:t>
      </w:r>
      <w:r w:rsidR="005377EC">
        <w:rPr>
          <w:rFonts w:ascii="Arial" w:hAnsi="Arial" w:cs="Arial"/>
        </w:rPr>
        <w:t>octubre del año en curso</w:t>
      </w:r>
      <w:r>
        <w:rPr>
          <w:rFonts w:ascii="Arial" w:hAnsi="Arial" w:cs="Arial"/>
        </w:rPr>
        <w:t xml:space="preserve"> mediante comunicación de la Secretaria de la </w:t>
      </w:r>
      <w:r w:rsidR="005377EC">
        <w:rPr>
          <w:rFonts w:ascii="Arial" w:hAnsi="Arial" w:cs="Arial"/>
        </w:rPr>
        <w:t>Comisión</w:t>
      </w:r>
      <w:r>
        <w:rPr>
          <w:rFonts w:ascii="Arial" w:hAnsi="Arial" w:cs="Arial"/>
        </w:rPr>
        <w:t xml:space="preserve"> Primera, </w:t>
      </w:r>
      <w:r w:rsidR="005377EC">
        <w:rPr>
          <w:rFonts w:ascii="Arial" w:hAnsi="Arial" w:cs="Arial"/>
        </w:rPr>
        <w:t xml:space="preserve">se nos informó que el </w:t>
      </w:r>
      <w:r w:rsidR="005150A9">
        <w:rPr>
          <w:rFonts w:ascii="Arial" w:hAnsi="Arial" w:cs="Arial"/>
        </w:rPr>
        <w:t xml:space="preserve">Proyecto 199 de 2019 Cámara </w:t>
      </w:r>
      <w:r w:rsidR="005377EC">
        <w:rPr>
          <w:rFonts w:ascii="Arial" w:hAnsi="Arial" w:cs="Arial"/>
        </w:rPr>
        <w:t xml:space="preserve">se acumula con el </w:t>
      </w:r>
      <w:r w:rsidR="00A65DA3">
        <w:rPr>
          <w:rFonts w:ascii="Arial" w:hAnsi="Arial" w:cs="Arial"/>
          <w:color w:val="000000" w:themeColor="text1"/>
          <w:lang w:val="es-ES_tradnl"/>
        </w:rPr>
        <w:t xml:space="preserve">Proyecto de Ley 247 de 2019 Cámara </w:t>
      </w:r>
      <w:r w:rsidR="005377EC" w:rsidRPr="005377EC">
        <w:rPr>
          <w:rFonts w:ascii="Arial" w:hAnsi="Arial" w:cs="Arial"/>
          <w:color w:val="000000" w:themeColor="text1"/>
          <w:lang w:val="es-ES_tradnl"/>
        </w:rPr>
        <w:t>“POR MEDIO DE LA CUAL SE MODIFICAN LOS ARTÍCULOS 208 DE LEY 1448 DE 2011, 194 DEL DECRETO LEY 4633 DE 2011, 123 DEL DECRETO LEY 4634 DE 2011, Y DEL DECRETO LEY 4635 DE 2011, PRORROGÁNDOSE LAS ANTERIORES NORMAS POR DIEZ AÑOS MÁS”.</w:t>
      </w:r>
    </w:p>
    <w:p w:rsidR="007171E5" w:rsidRPr="00B514AD" w:rsidRDefault="007171E5" w:rsidP="00FD487C">
      <w:pPr>
        <w:pStyle w:val="Listavistosa-nfasis11"/>
        <w:spacing w:after="0" w:line="240" w:lineRule="auto"/>
        <w:jc w:val="both"/>
        <w:rPr>
          <w:rFonts w:ascii="Arial" w:hAnsi="Arial" w:cs="Arial"/>
          <w:color w:val="000000" w:themeColor="text1"/>
          <w:lang w:val="es-ES_tradnl"/>
        </w:rPr>
      </w:pPr>
    </w:p>
    <w:p w:rsidR="00EC2AF0" w:rsidRPr="00B514AD" w:rsidRDefault="00EC2AF0" w:rsidP="00EC2AF0">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AUDIENCIA PÚBLICA</w:t>
      </w:r>
    </w:p>
    <w:p w:rsidR="00EC2AF0" w:rsidRPr="00B514AD" w:rsidRDefault="00EC2AF0" w:rsidP="00EC2AF0">
      <w:pPr>
        <w:spacing w:after="0" w:line="240" w:lineRule="auto"/>
        <w:ind w:left="708"/>
        <w:jc w:val="both"/>
        <w:rPr>
          <w:rFonts w:ascii="Arial" w:hAnsi="Arial" w:cs="Arial"/>
          <w:color w:val="000000" w:themeColor="text1"/>
        </w:rPr>
      </w:pPr>
    </w:p>
    <w:p w:rsidR="00EC2AF0" w:rsidRPr="00B514AD" w:rsidRDefault="00EC2AF0" w:rsidP="00FB2319">
      <w:pPr>
        <w:pStyle w:val="Listavistosa-nfasis11"/>
        <w:spacing w:after="0" w:line="240" w:lineRule="auto"/>
        <w:ind w:left="0"/>
        <w:jc w:val="both"/>
        <w:rPr>
          <w:rFonts w:ascii="Arial" w:hAnsi="Arial" w:cs="Arial"/>
        </w:rPr>
      </w:pPr>
      <w:r w:rsidRPr="00B514AD">
        <w:rPr>
          <w:rFonts w:ascii="Arial" w:hAnsi="Arial" w:cs="Arial"/>
        </w:rPr>
        <w:t xml:space="preserve">El día 9 de octubre de 2019 se realizó audiencia pública, frente a lo expuesto en ella puede afirmarse en general que existe un consenso sobre la importancia de la Ley 1448 de 2011 como el marco normativo para la reparación a las víctimas del conflicto armado, así como sobre la necesidad de ampliar el plazo de vigencia de esta. Sin embargo, puede afirmarse que las posiciones oscilaron entre las siguientes posturas a) quienes afirman que se requiere ampliar el plazo de la vigencia de la Ley para asegurar la estabilidad del marco normativo e institucional para la reparación de las víctimas, asegurando que otras decisiones de ajuste a la Ley 1448 de 2011 pueden posponerse e incluso podrían darse con más tranquilidad sin la </w:t>
      </w:r>
      <w:r w:rsidRPr="00B514AD">
        <w:rPr>
          <w:rFonts w:ascii="Arial" w:hAnsi="Arial" w:cs="Arial"/>
        </w:rPr>
        <w:lastRenderedPageBreak/>
        <w:t>presión de la pérdida de vigencia de la Ley, b) quienes afirman que requiere ampliarse la vigencia de la Ley pero al mismo tiempo deben discutirse los ajustes estructurales de esta, y c) quienes afirmaron que si bien la ampliación del termino de vigencia de la Ley era necesario, pero qué para determinar la nueva vigencia debía esperarse a que el gobierno nacional presentará su informe al Congreso, pues consideran que el nuevo plazo de vigencia estaría supeditado a las conclusiones de este informe.</w:t>
      </w:r>
    </w:p>
    <w:p w:rsidR="00EC2AF0" w:rsidRPr="00B514AD" w:rsidRDefault="00EC2AF0" w:rsidP="00FD487C">
      <w:pPr>
        <w:pStyle w:val="Listavistosa-nfasis11"/>
        <w:spacing w:after="0" w:line="240" w:lineRule="auto"/>
        <w:jc w:val="both"/>
        <w:rPr>
          <w:rFonts w:ascii="Arial" w:hAnsi="Arial" w:cs="Arial"/>
          <w:color w:val="000000" w:themeColor="text1"/>
          <w:lang w:val="es-ES_tradnl"/>
        </w:rPr>
      </w:pPr>
    </w:p>
    <w:p w:rsidR="007171E5" w:rsidRPr="00B514AD" w:rsidRDefault="00EC2AF0" w:rsidP="00FB2319">
      <w:pPr>
        <w:pStyle w:val="Listavistosa-nfasis11"/>
        <w:spacing w:after="0" w:line="240" w:lineRule="auto"/>
        <w:ind w:left="0"/>
        <w:jc w:val="both"/>
        <w:rPr>
          <w:rFonts w:ascii="Arial" w:hAnsi="Arial" w:cs="Arial"/>
        </w:rPr>
      </w:pPr>
      <w:r w:rsidRPr="00B514AD">
        <w:rPr>
          <w:rFonts w:ascii="Arial" w:hAnsi="Arial" w:cs="Arial"/>
        </w:rPr>
        <w:t>En efecto, la siguiente tabla muestra estas diversas posiciones:</w:t>
      </w:r>
    </w:p>
    <w:p w:rsidR="00EC2AF0" w:rsidRPr="00B514AD" w:rsidRDefault="00EC2AF0" w:rsidP="00FD487C">
      <w:pPr>
        <w:pStyle w:val="Listavistosa-nfasis11"/>
        <w:spacing w:after="0" w:line="240" w:lineRule="auto"/>
        <w:jc w:val="both"/>
        <w:rPr>
          <w:rFonts w:ascii="Arial" w:hAnsi="Arial" w:cs="Arial"/>
        </w:rPr>
      </w:pPr>
    </w:p>
    <w:tbl>
      <w:tblPr>
        <w:tblStyle w:val="Tablaconcuadrcula"/>
        <w:tblW w:w="0" w:type="auto"/>
        <w:tblInd w:w="720" w:type="dxa"/>
        <w:tblLook w:val="04A0" w:firstRow="1" w:lastRow="0" w:firstColumn="1" w:lastColumn="0" w:noHBand="0" w:noVBand="1"/>
      </w:tblPr>
      <w:tblGrid>
        <w:gridCol w:w="3528"/>
        <w:gridCol w:w="4580"/>
      </w:tblGrid>
      <w:tr w:rsidR="00EC2AF0" w:rsidRPr="00B514AD" w:rsidTr="00FB2319">
        <w:tc>
          <w:tcPr>
            <w:tcW w:w="3528" w:type="dxa"/>
          </w:tcPr>
          <w:p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Interviniente</w:t>
            </w:r>
          </w:p>
        </w:tc>
        <w:tc>
          <w:tcPr>
            <w:tcW w:w="4580" w:type="dxa"/>
          </w:tcPr>
          <w:p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Posición Frente a la prórroga de la vigencia de la Ley 1448</w:t>
            </w:r>
          </w:p>
        </w:tc>
      </w:tr>
      <w:tr w:rsidR="00EC2AF0" w:rsidRPr="00B514AD" w:rsidTr="00FB2319">
        <w:tc>
          <w:tcPr>
            <w:tcW w:w="3528" w:type="dxa"/>
          </w:tcPr>
          <w:p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Viceministerio del Interior</w:t>
            </w:r>
          </w:p>
        </w:tc>
        <w:tc>
          <w:tcPr>
            <w:tcW w:w="4580" w:type="dxa"/>
          </w:tcPr>
          <w:p w:rsidR="00EC2AF0" w:rsidRPr="00B514AD" w:rsidRDefault="00EC2AF0" w:rsidP="00E6230D">
            <w:pPr>
              <w:pStyle w:val="Listavistosa-nfasis11"/>
              <w:ind w:left="0"/>
              <w:jc w:val="both"/>
              <w:rPr>
                <w:rFonts w:ascii="Arial" w:hAnsi="Arial" w:cs="Arial"/>
                <w:color w:val="000000" w:themeColor="text1"/>
                <w:lang w:val="es-ES_tradnl"/>
              </w:rPr>
            </w:pPr>
            <w:r w:rsidRPr="00B514AD">
              <w:rPr>
                <w:rFonts w:ascii="Arial" w:hAnsi="Arial" w:cs="Arial"/>
              </w:rPr>
              <w:t>la ampliación del termino de vigencia de la Ley era necesario, pero para determinar la nueva vigencia debía esperarse a que el gobierno nacional presentará su informe al Congreso</w:t>
            </w:r>
          </w:p>
        </w:tc>
      </w:tr>
      <w:tr w:rsidR="00EC2AF0" w:rsidRPr="00B514AD" w:rsidTr="00FB2319">
        <w:tc>
          <w:tcPr>
            <w:tcW w:w="3528" w:type="dxa"/>
          </w:tcPr>
          <w:p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UARIV</w:t>
            </w:r>
          </w:p>
        </w:tc>
        <w:tc>
          <w:tcPr>
            <w:tcW w:w="4580" w:type="dxa"/>
          </w:tcPr>
          <w:p w:rsidR="00EC2AF0" w:rsidRPr="00B514AD" w:rsidRDefault="00EC2AF0" w:rsidP="00E6230D">
            <w:pPr>
              <w:pStyle w:val="Listavistosa-nfasis11"/>
              <w:ind w:left="0"/>
              <w:jc w:val="both"/>
              <w:rPr>
                <w:rFonts w:ascii="Arial" w:hAnsi="Arial" w:cs="Arial"/>
                <w:color w:val="000000" w:themeColor="text1"/>
                <w:lang w:val="es-ES_tradnl"/>
              </w:rPr>
            </w:pPr>
            <w:r w:rsidRPr="00B514AD">
              <w:rPr>
                <w:rFonts w:ascii="Arial" w:hAnsi="Arial" w:cs="Arial"/>
              </w:rPr>
              <w:t>la ampliación del termino de vigencia de la Ley era necesario, pero para determinar la nueva vigencia debía esperarse a que el gobierno nacional presentará su informe al Congreso</w:t>
            </w:r>
          </w:p>
        </w:tc>
      </w:tr>
      <w:tr w:rsidR="00EC2AF0" w:rsidRPr="00B514AD" w:rsidTr="00FB2319">
        <w:tc>
          <w:tcPr>
            <w:tcW w:w="3528"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Representante Mesa Nacional de Víctimas</w:t>
            </w:r>
          </w:p>
        </w:tc>
        <w:tc>
          <w:tcPr>
            <w:tcW w:w="4580"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 xml:space="preserve">se requiere ampliar el plazo de la vigencia de la Ley </w:t>
            </w:r>
            <w:r w:rsidR="007F6B59">
              <w:rPr>
                <w:rFonts w:ascii="Arial" w:hAnsi="Arial" w:cs="Arial"/>
              </w:rPr>
              <w:t xml:space="preserve">y de los Decretos Ley Étnicos </w:t>
            </w:r>
            <w:r w:rsidRPr="00B514AD">
              <w:rPr>
                <w:rFonts w:ascii="Arial" w:hAnsi="Arial" w:cs="Arial"/>
              </w:rPr>
              <w:t>para asegurar la estabilidad del marco normativo e institucional para la reparación de las víctimas, siendo posible posponer otras discusiones sobre ajuste a la misma</w:t>
            </w:r>
          </w:p>
        </w:tc>
      </w:tr>
      <w:tr w:rsidR="00EC2AF0" w:rsidRPr="00B514AD" w:rsidTr="00FB2319">
        <w:tc>
          <w:tcPr>
            <w:tcW w:w="3528"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Defensoría del Pueblo</w:t>
            </w:r>
          </w:p>
        </w:tc>
        <w:tc>
          <w:tcPr>
            <w:tcW w:w="4580"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r w:rsidR="00EC2AF0" w:rsidRPr="00B514AD" w:rsidTr="00FB2319">
        <w:tc>
          <w:tcPr>
            <w:tcW w:w="3528"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DPS</w:t>
            </w:r>
          </w:p>
        </w:tc>
        <w:tc>
          <w:tcPr>
            <w:tcW w:w="4580" w:type="dxa"/>
          </w:tcPr>
          <w:p w:rsidR="00EC2AF0" w:rsidRPr="00B514AD" w:rsidRDefault="00141EEB" w:rsidP="00E6230D">
            <w:pPr>
              <w:pStyle w:val="Listavistosa-nfasis11"/>
              <w:ind w:left="0"/>
              <w:jc w:val="both"/>
              <w:rPr>
                <w:rFonts w:ascii="Arial" w:hAnsi="Arial" w:cs="Arial"/>
                <w:color w:val="000000" w:themeColor="text1"/>
                <w:lang w:val="es-ES_tradnl"/>
              </w:rPr>
            </w:pPr>
            <w:r w:rsidRPr="00B514AD">
              <w:rPr>
                <w:rFonts w:ascii="Arial" w:hAnsi="Arial" w:cs="Arial"/>
              </w:rPr>
              <w:t>la ampliación del termino de vigencia de la Ley era necesario, pero para determinar la nueva vigencia debía esperarse a que el gobierno nacional presentará su informe al Congreso</w:t>
            </w:r>
          </w:p>
        </w:tc>
      </w:tr>
      <w:tr w:rsidR="00EC2AF0" w:rsidRPr="00B514AD" w:rsidTr="00FB2319">
        <w:tc>
          <w:tcPr>
            <w:tcW w:w="3528"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Contraloría General de la República</w:t>
            </w:r>
          </w:p>
        </w:tc>
        <w:tc>
          <w:tcPr>
            <w:tcW w:w="4580"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requiere ampliarse la vigencia de la Ley pero al mismo tiempo deben discutirse los ajustes estructurales de esta</w:t>
            </w:r>
          </w:p>
        </w:tc>
      </w:tr>
      <w:tr w:rsidR="00EC2AF0" w:rsidRPr="00B514AD" w:rsidTr="00FB2319">
        <w:tc>
          <w:tcPr>
            <w:tcW w:w="3528" w:type="dxa"/>
          </w:tcPr>
          <w:p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URT</w:t>
            </w:r>
          </w:p>
        </w:tc>
        <w:tc>
          <w:tcPr>
            <w:tcW w:w="4580" w:type="dxa"/>
          </w:tcPr>
          <w:p w:rsidR="00EC2AF0" w:rsidRPr="00B514AD" w:rsidRDefault="00141EEB" w:rsidP="00E6230D">
            <w:pPr>
              <w:pStyle w:val="Listavistosa-nfasis11"/>
              <w:ind w:left="0"/>
              <w:jc w:val="both"/>
              <w:rPr>
                <w:rFonts w:ascii="Arial" w:hAnsi="Arial" w:cs="Arial"/>
                <w:color w:val="000000" w:themeColor="text1"/>
                <w:lang w:val="es-ES_tradnl"/>
              </w:rPr>
            </w:pPr>
            <w:r w:rsidRPr="00B514AD">
              <w:rPr>
                <w:rFonts w:ascii="Arial" w:hAnsi="Arial" w:cs="Arial"/>
              </w:rPr>
              <w:t xml:space="preserve">la ampliación del termino de vigencia de la Ley era necesario, pero para determinar la nueva vigencia debía esperarse a que el gobierno nacional </w:t>
            </w:r>
            <w:r w:rsidRPr="00B514AD">
              <w:rPr>
                <w:rFonts w:ascii="Arial" w:hAnsi="Arial" w:cs="Arial"/>
              </w:rPr>
              <w:lastRenderedPageBreak/>
              <w:t>presentará su informe al Congreso. Sin embargo, afirmo que incluso con la perdida de vigencia de la Ley la URT llevaría hasta el final los procesos de restitución de acuerdo a la solicitudes realizadas.</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lastRenderedPageBreak/>
              <w:t>Víctima desplazamiento proveniente Magdalena</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requiere ampliarse la vigencia de la Ley pero al mismo tiempo deben discutirse los ajustes estructurales de esta</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Superintendencia de Notariado y Registro</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 (énfasis en terminar los procesos rezagados o que faltan)</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CODHES</w:t>
            </w:r>
          </w:p>
        </w:tc>
        <w:tc>
          <w:tcPr>
            <w:tcW w:w="4580" w:type="dxa"/>
          </w:tcPr>
          <w:p w:rsidR="00141EEB" w:rsidRPr="00B514AD" w:rsidRDefault="00141EEB" w:rsidP="007F6B59">
            <w:pPr>
              <w:pStyle w:val="Listavistosa-nfasis11"/>
              <w:ind w:left="0"/>
              <w:jc w:val="both"/>
              <w:rPr>
                <w:rFonts w:ascii="Arial" w:hAnsi="Arial" w:cs="Arial"/>
              </w:rPr>
            </w:pPr>
            <w:r w:rsidRPr="00B514AD">
              <w:rPr>
                <w:rFonts w:ascii="Arial" w:hAnsi="Arial" w:cs="Arial"/>
              </w:rPr>
              <w:t xml:space="preserve">requiere ampliarse la vigencia de la Ley </w:t>
            </w:r>
            <w:r w:rsidR="007F6B59">
              <w:rPr>
                <w:rFonts w:ascii="Arial" w:hAnsi="Arial" w:cs="Arial"/>
              </w:rPr>
              <w:t>y los Decretos Ley Étnicos para asegurar la restitución de los derechos territoriales de los pueblos étnicos y asegurar la protección de  los derechos de las víctimas del conflicto armado.</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Ministerio del Trabajo</w:t>
            </w:r>
          </w:p>
        </w:tc>
        <w:tc>
          <w:tcPr>
            <w:tcW w:w="4580" w:type="dxa"/>
          </w:tcPr>
          <w:p w:rsidR="00141EEB" w:rsidRPr="00B514AD" w:rsidRDefault="00141EEB" w:rsidP="00141EEB">
            <w:pPr>
              <w:pStyle w:val="Listavistosa-nfasis11"/>
              <w:ind w:left="0"/>
              <w:jc w:val="both"/>
              <w:rPr>
                <w:rFonts w:ascii="Arial" w:hAnsi="Arial" w:cs="Arial"/>
              </w:rPr>
            </w:pPr>
            <w:r w:rsidRPr="00B514AD">
              <w:rPr>
                <w:rFonts w:ascii="Arial" w:hAnsi="Arial" w:cs="Arial"/>
              </w:rPr>
              <w:t xml:space="preserve">se requiere ampliar el plazo de la vigencia de la Ley para asegurar la estabilidad del marco normativo e institucional para la reparación de las víctimas, siendo posible posponer otras discusiones sobre ajuste a la misma. </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CCJ</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requiere ampliarse la vigencia de la Ley pero al mismo tiempo deben discutirse los ajustes estructurales de esta</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Ministerio de Educación</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 xml:space="preserve">No fijo posición sobre la ampliación pero </w:t>
            </w:r>
            <w:r w:rsidR="000174D2" w:rsidRPr="00B514AD">
              <w:rPr>
                <w:rFonts w:ascii="Arial" w:hAnsi="Arial" w:cs="Arial"/>
              </w:rPr>
              <w:t>destacó</w:t>
            </w:r>
            <w:r w:rsidRPr="00B514AD">
              <w:rPr>
                <w:rFonts w:ascii="Arial" w:hAnsi="Arial" w:cs="Arial"/>
              </w:rPr>
              <w:t xml:space="preserve"> la importancia de la Ley 1448 para la reparación a las víctimas</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Víctima proveniente sur de Meta</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Medicina Legal</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 xml:space="preserve">No fijo posición sobre la ampliación pero </w:t>
            </w:r>
            <w:r w:rsidR="000174D2" w:rsidRPr="00B514AD">
              <w:rPr>
                <w:rFonts w:ascii="Arial" w:hAnsi="Arial" w:cs="Arial"/>
              </w:rPr>
              <w:t>destacó</w:t>
            </w:r>
            <w:r w:rsidRPr="00B514AD">
              <w:rPr>
                <w:rFonts w:ascii="Arial" w:hAnsi="Arial" w:cs="Arial"/>
              </w:rPr>
              <w:t xml:space="preserve"> la importancia de la Ley 1448 para la reparación a las víctimas</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Víctima perteneciente a fuerzas armadas</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 xml:space="preserve">requiere ampliarse la vigencia de la Ley pero al mismo tiempo deben discutirse los ajustes estructurales de esta (énfasis </w:t>
            </w:r>
            <w:r w:rsidRPr="00B514AD">
              <w:rPr>
                <w:rFonts w:ascii="Arial" w:hAnsi="Arial" w:cs="Arial"/>
              </w:rPr>
              <w:lastRenderedPageBreak/>
              <w:t>en los ajustes para incluir víctimas pertenecientes a fuerzas armadas)</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lastRenderedPageBreak/>
              <w:t>Movice</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requiere ampliarse la vigencia de la Ley pero al mismo tiempo deben discutirse los ajustes estructurales de esta</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IPC</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Asociación Tierras Urabá</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r w:rsidR="00141EEB" w:rsidRPr="00B514AD" w:rsidTr="00FB2319">
        <w:tc>
          <w:tcPr>
            <w:tcW w:w="3528"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Víctima reclutamiento forzado</w:t>
            </w:r>
          </w:p>
        </w:tc>
        <w:tc>
          <w:tcPr>
            <w:tcW w:w="4580" w:type="dxa"/>
          </w:tcPr>
          <w:p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bl>
    <w:p w:rsidR="00EC2AF0" w:rsidRPr="00B514AD" w:rsidRDefault="00EC2AF0" w:rsidP="00FD487C">
      <w:pPr>
        <w:pStyle w:val="Listavistosa-nfasis11"/>
        <w:spacing w:after="0" w:line="240" w:lineRule="auto"/>
        <w:jc w:val="both"/>
        <w:rPr>
          <w:rFonts w:ascii="Arial" w:hAnsi="Arial" w:cs="Arial"/>
          <w:color w:val="000000" w:themeColor="text1"/>
          <w:lang w:val="es-ES_tradnl"/>
        </w:rPr>
      </w:pPr>
    </w:p>
    <w:p w:rsidR="00FB2319" w:rsidRDefault="00FB2319" w:rsidP="00FB2319">
      <w:pPr>
        <w:pStyle w:val="Listavistosa-nfasis11"/>
        <w:spacing w:after="0" w:line="240" w:lineRule="auto"/>
        <w:ind w:left="0"/>
        <w:jc w:val="both"/>
        <w:rPr>
          <w:rFonts w:ascii="Arial" w:hAnsi="Arial" w:cs="Arial"/>
        </w:rPr>
      </w:pPr>
      <w:r w:rsidRPr="00B514AD">
        <w:rPr>
          <w:rFonts w:ascii="Arial" w:hAnsi="Arial" w:cs="Arial"/>
        </w:rPr>
        <w:t xml:space="preserve">En general quienes defendieron la </w:t>
      </w:r>
      <w:r w:rsidR="000174D2" w:rsidRPr="00B514AD">
        <w:rPr>
          <w:rFonts w:ascii="Arial" w:hAnsi="Arial" w:cs="Arial"/>
        </w:rPr>
        <w:t>prórroga</w:t>
      </w:r>
      <w:r w:rsidRPr="00B514AD">
        <w:rPr>
          <w:rFonts w:ascii="Arial" w:hAnsi="Arial" w:cs="Arial"/>
        </w:rPr>
        <w:t xml:space="preserve"> de la vigencia de la Ley 1448 de 2011 </w:t>
      </w:r>
      <w:r w:rsidR="00010ACF">
        <w:rPr>
          <w:rFonts w:ascii="Arial" w:hAnsi="Arial" w:cs="Arial"/>
        </w:rPr>
        <w:t xml:space="preserve">y los tres Decretos Ley Étnicos </w:t>
      </w:r>
      <w:r w:rsidRPr="00B514AD">
        <w:rPr>
          <w:rFonts w:ascii="Arial" w:hAnsi="Arial" w:cs="Arial"/>
        </w:rPr>
        <w:t>esgrimieron al menos una de las siguientes razones: i) la necesidad de cumplirle a las víctimas con las medidas necesarias para garantizar el goce efectivo de derechos de las víctimas como una responsabilidad del legislativo, esto ante el estado de implementación de algunas medidas de reparación que no cuentan con estados de avance satisfactorio; ii) el hecho de que en ausencia de Ley de víctimas se corre un riesgo grave de regresividad en las condiciones de goce efectivo de derechos de las víctimas; y iii) que el Estado debe cumplir sus compromisos con los derechos de las víctimas en virtud del acuerdo de paz.</w:t>
      </w:r>
    </w:p>
    <w:p w:rsidR="00010ACF" w:rsidRDefault="00010ACF" w:rsidP="00FB2319">
      <w:pPr>
        <w:pStyle w:val="Listavistosa-nfasis11"/>
        <w:spacing w:after="0" w:line="240" w:lineRule="auto"/>
        <w:ind w:left="0"/>
        <w:jc w:val="both"/>
        <w:rPr>
          <w:rFonts w:ascii="Arial" w:hAnsi="Arial" w:cs="Arial"/>
        </w:rPr>
      </w:pPr>
    </w:p>
    <w:p w:rsidR="00344A99" w:rsidRPr="00344A99" w:rsidRDefault="00344A99" w:rsidP="00FB2319">
      <w:pPr>
        <w:pStyle w:val="Listavistosa-nfasis11"/>
        <w:spacing w:after="0" w:line="240" w:lineRule="auto"/>
        <w:ind w:left="0"/>
        <w:jc w:val="both"/>
        <w:rPr>
          <w:rFonts w:ascii="Arial" w:hAnsi="Arial" w:cs="Arial"/>
        </w:rPr>
      </w:pPr>
      <w:r w:rsidRPr="00344A99">
        <w:rPr>
          <w:rFonts w:ascii="Arial" w:hAnsi="Arial" w:cs="Arial"/>
        </w:rPr>
        <w:t>Así</w:t>
      </w:r>
      <w:r w:rsidR="00010ACF" w:rsidRPr="00344A99">
        <w:rPr>
          <w:rFonts w:ascii="Arial" w:hAnsi="Arial" w:cs="Arial"/>
        </w:rPr>
        <w:t xml:space="preserve"> mismo la Honorable Representante a la </w:t>
      </w:r>
      <w:r w:rsidRPr="00344A99">
        <w:rPr>
          <w:rFonts w:ascii="Arial" w:hAnsi="Arial" w:cs="Arial"/>
        </w:rPr>
        <w:t>Cámara</w:t>
      </w:r>
      <w:r w:rsidR="00010ACF" w:rsidRPr="00344A99">
        <w:rPr>
          <w:rFonts w:ascii="Arial" w:hAnsi="Arial" w:cs="Arial"/>
        </w:rPr>
        <w:t xml:space="preserve"> </w:t>
      </w:r>
      <w:r w:rsidRPr="00344A99">
        <w:rPr>
          <w:rFonts w:ascii="Arial" w:hAnsi="Arial" w:cs="Arial"/>
        </w:rPr>
        <w:t>María</w:t>
      </w:r>
      <w:r w:rsidR="00010ACF" w:rsidRPr="00344A99">
        <w:rPr>
          <w:rFonts w:ascii="Arial" w:hAnsi="Arial" w:cs="Arial"/>
        </w:rPr>
        <w:t xml:space="preserve"> </w:t>
      </w:r>
      <w:r w:rsidRPr="00344A99">
        <w:rPr>
          <w:rFonts w:ascii="Arial" w:hAnsi="Arial" w:cs="Arial"/>
        </w:rPr>
        <w:t>José</w:t>
      </w:r>
      <w:r w:rsidR="00010ACF" w:rsidRPr="00344A99">
        <w:rPr>
          <w:rFonts w:ascii="Arial" w:hAnsi="Arial" w:cs="Arial"/>
        </w:rPr>
        <w:t xml:space="preserve"> Pizarro ha señalado </w:t>
      </w:r>
    </w:p>
    <w:p w:rsidR="00344A99" w:rsidRPr="00344A99" w:rsidRDefault="00344A99" w:rsidP="00344A99">
      <w:pPr>
        <w:spacing w:after="0" w:line="227" w:lineRule="auto"/>
        <w:ind w:left="-1" w:right="43" w:firstLine="4"/>
        <w:jc w:val="both"/>
        <w:rPr>
          <w:rFonts w:ascii="Arial" w:hAnsi="Arial" w:cs="Arial"/>
        </w:rPr>
      </w:pPr>
      <w:r w:rsidRPr="00344A99">
        <w:rPr>
          <w:rFonts w:ascii="Arial" w:hAnsi="Arial" w:cs="Arial"/>
        </w:rPr>
        <w:t xml:space="preserve">En su </w:t>
      </w:r>
      <w:r w:rsidR="00DF6D69">
        <w:rPr>
          <w:rFonts w:ascii="Arial" w:hAnsi="Arial" w:cs="Arial"/>
        </w:rPr>
        <w:t xml:space="preserve">Proyecto de Ley 247 del 2019 Cámara </w:t>
      </w:r>
      <w:r w:rsidRPr="00344A99">
        <w:rPr>
          <w:rFonts w:ascii="Arial" w:hAnsi="Arial" w:cs="Arial"/>
        </w:rPr>
        <w:t xml:space="preserve">su preocupación “ porque </w:t>
      </w:r>
      <w:r w:rsidRPr="00344A99">
        <w:rPr>
          <w:rFonts w:ascii="Arial" w:eastAsia="Calibri" w:hAnsi="Arial" w:cs="Arial"/>
        </w:rPr>
        <w:t>en el año 2021 termina la vigencia de la Ley 1448 de 2011, llamada Ley de Víctimas y de Restitución de Tierras, así como la de los Decretos Ley para la Asistencia, Atención, Reparación Integral y Restitución de Tierras a Pueblos Indígenas (Decreto Ley 4633 de 2011), Comunidades afrodescendientes, raizales y palenqueras (Decreto Ley 4635 de 2011) y miembros del pueblo Rrom o Gitano (Decreto Ley 4634 de 2011), en medio de una dinámica contradictoria de implementación del proceso de paz, donde las víctimas y sus derechos están en el centro de la implementación de los acuerdos de la Habana pero, paulatinamente, el marco institucional que las reconoce, junto a sus derechos, está próximo a desaparecer”.</w:t>
      </w:r>
    </w:p>
    <w:p w:rsidR="00010ACF" w:rsidRPr="00344A99" w:rsidRDefault="00010ACF" w:rsidP="00FB2319">
      <w:pPr>
        <w:pStyle w:val="Listavistosa-nfasis11"/>
        <w:spacing w:after="0" w:line="240" w:lineRule="auto"/>
        <w:ind w:left="0"/>
        <w:jc w:val="both"/>
        <w:rPr>
          <w:rFonts w:ascii="Arial" w:hAnsi="Arial" w:cs="Arial"/>
        </w:rPr>
      </w:pPr>
      <w:r w:rsidRPr="00344A99">
        <w:rPr>
          <w:rFonts w:ascii="Arial" w:hAnsi="Arial" w:cs="Arial"/>
        </w:rPr>
        <w:t xml:space="preserve"> </w:t>
      </w:r>
    </w:p>
    <w:p w:rsidR="00FB2319" w:rsidRPr="00B514AD" w:rsidRDefault="00FB2319" w:rsidP="00FB2319">
      <w:pPr>
        <w:pStyle w:val="Listavistosa-nfasis11"/>
        <w:spacing w:after="0" w:line="240" w:lineRule="auto"/>
        <w:ind w:left="0"/>
        <w:jc w:val="both"/>
        <w:rPr>
          <w:rFonts w:ascii="Arial" w:hAnsi="Arial" w:cs="Arial"/>
          <w:color w:val="000000" w:themeColor="text1"/>
          <w:lang w:val="es-ES_tradnl"/>
        </w:rPr>
      </w:pPr>
      <w:r w:rsidRPr="00B514AD">
        <w:rPr>
          <w:rFonts w:ascii="Arial" w:hAnsi="Arial" w:cs="Arial"/>
        </w:rPr>
        <w:lastRenderedPageBreak/>
        <w:t xml:space="preserve">Ahora bien, es importante destacar </w:t>
      </w:r>
      <w:r w:rsidR="000174D2" w:rsidRPr="00B514AD">
        <w:rPr>
          <w:rFonts w:ascii="Arial" w:hAnsi="Arial" w:cs="Arial"/>
        </w:rPr>
        <w:t>que,</w:t>
      </w:r>
      <w:r w:rsidRPr="00B514AD">
        <w:rPr>
          <w:rFonts w:ascii="Arial" w:hAnsi="Arial" w:cs="Arial"/>
        </w:rPr>
        <w:t xml:space="preserve"> durante la audiencia, especialmente, las instituciones del Estado que intervinieron pudieron exponer los avances que se han tenido en la materia, especialmente en lo referido a las indemnizaciones, la ayuda humanitaria, la restitución de tierras o la implementación de medidas en el área </w:t>
      </w:r>
      <w:r w:rsidR="000174D2" w:rsidRPr="00B514AD">
        <w:rPr>
          <w:rFonts w:ascii="Arial" w:hAnsi="Arial" w:cs="Arial"/>
        </w:rPr>
        <w:t>de la generación</w:t>
      </w:r>
      <w:r w:rsidRPr="00B514AD">
        <w:rPr>
          <w:rFonts w:ascii="Arial" w:hAnsi="Arial" w:cs="Arial"/>
        </w:rPr>
        <w:t xml:space="preserve"> de ingresos y educación. Ahora bien, si bien se manifestaron importantes avances también se destacaron algunas necesidades importantes como la actualización del conpes, el bajo porcentaje de víctimas que ha sido indemnizado con respecto al universo total de víctimas, la gran cantidad de solicitudes de restitución que han sido rechazadas, entre otras. De lo que se concluye que es necesario revisar algunos aspectos importantes de la Ley 1448, siempre desde un enfoque de progresividad y de enfoque de derechos, pero que tal como lo manifestaron algunos de los intervinientes, esto no es opuesto a una ampliación de la vigencia de la Ley 1448, antes bien refuerza el argumento de que debe garantizarse la estabilidad del marco normativo e institucional para garantizar los derechos de las víctimas.</w:t>
      </w:r>
    </w:p>
    <w:p w:rsidR="003F6A08" w:rsidRPr="00B514AD" w:rsidRDefault="003F6A08" w:rsidP="00FD487C">
      <w:pPr>
        <w:pStyle w:val="Listavistosa-nfasis11"/>
        <w:spacing w:after="0" w:line="240" w:lineRule="auto"/>
        <w:jc w:val="both"/>
        <w:rPr>
          <w:rFonts w:ascii="Arial" w:hAnsi="Arial" w:cs="Arial"/>
          <w:color w:val="000000" w:themeColor="text1"/>
          <w:lang w:val="es-ES_tradnl"/>
        </w:rPr>
      </w:pPr>
    </w:p>
    <w:p w:rsidR="003F6A08" w:rsidRPr="00B514AD" w:rsidRDefault="003F6A08" w:rsidP="00FD487C">
      <w:pPr>
        <w:pStyle w:val="Listavistosa-nfasis11"/>
        <w:spacing w:after="0" w:line="240" w:lineRule="auto"/>
        <w:jc w:val="both"/>
        <w:rPr>
          <w:rFonts w:ascii="Arial" w:hAnsi="Arial" w:cs="Arial"/>
          <w:color w:val="000000" w:themeColor="text1"/>
          <w:lang w:val="es-ES_tradnl"/>
        </w:rPr>
      </w:pPr>
    </w:p>
    <w:p w:rsidR="00266569" w:rsidRPr="00B514AD" w:rsidRDefault="005A7E50"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ESTRUCTURA DEL PROYECTO</w:t>
      </w:r>
      <w:r w:rsidR="00D86A1C" w:rsidRPr="00B514AD">
        <w:rPr>
          <w:rFonts w:ascii="Arial" w:hAnsi="Arial" w:cs="Arial"/>
          <w:b/>
          <w:color w:val="000000" w:themeColor="text1"/>
          <w:lang w:val="es-ES_tradnl"/>
        </w:rPr>
        <w:t xml:space="preserve"> </w:t>
      </w:r>
    </w:p>
    <w:p w:rsidR="001A77A4" w:rsidRPr="00B514AD" w:rsidRDefault="001A77A4" w:rsidP="00FD487C">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D86A1C" w:rsidRPr="00B514AD" w:rsidTr="008748B0">
        <w:tc>
          <w:tcPr>
            <w:tcW w:w="1843" w:type="dxa"/>
          </w:tcPr>
          <w:p w:rsidR="00D86A1C" w:rsidRPr="00B514AD" w:rsidRDefault="002D1358" w:rsidP="00D86A1C">
            <w:pPr>
              <w:jc w:val="center"/>
              <w:rPr>
                <w:rFonts w:ascii="Arial" w:hAnsi="Arial" w:cs="Arial"/>
                <w:b/>
                <w:color w:val="000000" w:themeColor="text1"/>
              </w:rPr>
            </w:pPr>
            <w:r w:rsidRPr="00B514AD">
              <w:rPr>
                <w:rFonts w:ascii="Arial" w:hAnsi="Arial" w:cs="Arial"/>
                <w:b/>
                <w:color w:val="000000" w:themeColor="text1"/>
              </w:rPr>
              <w:t>Articulado</w:t>
            </w:r>
          </w:p>
        </w:tc>
        <w:tc>
          <w:tcPr>
            <w:tcW w:w="7088" w:type="dxa"/>
          </w:tcPr>
          <w:p w:rsidR="00D86A1C" w:rsidRPr="00B514AD" w:rsidRDefault="002D1358" w:rsidP="00DF6D69">
            <w:pPr>
              <w:jc w:val="center"/>
              <w:rPr>
                <w:rFonts w:ascii="Arial" w:hAnsi="Arial" w:cs="Arial"/>
                <w:b/>
                <w:color w:val="000000" w:themeColor="text1"/>
              </w:rPr>
            </w:pPr>
            <w:r w:rsidRPr="00B514AD">
              <w:rPr>
                <w:rFonts w:ascii="Arial" w:hAnsi="Arial" w:cs="Arial"/>
                <w:b/>
                <w:color w:val="000000" w:themeColor="text1"/>
              </w:rPr>
              <w:t xml:space="preserve">Contenido Proyecto de Ley </w:t>
            </w:r>
            <w:r w:rsidR="00DF6D69">
              <w:rPr>
                <w:rFonts w:ascii="Arial" w:hAnsi="Arial" w:cs="Arial"/>
                <w:b/>
                <w:color w:val="000000" w:themeColor="text1"/>
              </w:rPr>
              <w:t xml:space="preserve">199 </w:t>
            </w:r>
            <w:r w:rsidRPr="00B514AD">
              <w:rPr>
                <w:rFonts w:ascii="Arial" w:hAnsi="Arial" w:cs="Arial"/>
                <w:b/>
                <w:color w:val="000000" w:themeColor="text1"/>
              </w:rPr>
              <w:t>de 201</w:t>
            </w:r>
            <w:r w:rsidR="00487249">
              <w:rPr>
                <w:rFonts w:ascii="Arial" w:hAnsi="Arial" w:cs="Arial"/>
                <w:b/>
                <w:color w:val="000000" w:themeColor="text1"/>
              </w:rPr>
              <w:t>9</w:t>
            </w:r>
            <w:r w:rsidR="00DF6D69">
              <w:rPr>
                <w:rFonts w:ascii="Arial" w:hAnsi="Arial" w:cs="Arial"/>
                <w:b/>
                <w:color w:val="000000" w:themeColor="text1"/>
              </w:rPr>
              <w:t xml:space="preserve"> </w:t>
            </w:r>
            <w:r w:rsidR="00983D0B">
              <w:rPr>
                <w:rFonts w:ascii="Arial" w:hAnsi="Arial" w:cs="Arial"/>
                <w:b/>
                <w:color w:val="000000" w:themeColor="text1"/>
              </w:rPr>
              <w:t>Cámara</w:t>
            </w:r>
          </w:p>
        </w:tc>
      </w:tr>
      <w:tr w:rsidR="00D86A1C" w:rsidRPr="00B514AD" w:rsidTr="003F6A08">
        <w:trPr>
          <w:trHeight w:val="567"/>
        </w:trPr>
        <w:tc>
          <w:tcPr>
            <w:tcW w:w="1843" w:type="dxa"/>
          </w:tcPr>
          <w:p w:rsidR="00D86A1C" w:rsidRPr="00B514AD" w:rsidRDefault="002D1358" w:rsidP="001404A8">
            <w:pPr>
              <w:jc w:val="both"/>
              <w:rPr>
                <w:rFonts w:ascii="Arial" w:hAnsi="Arial" w:cs="Arial"/>
                <w:color w:val="000000" w:themeColor="text1"/>
              </w:rPr>
            </w:pPr>
            <w:r w:rsidRPr="00B514AD">
              <w:rPr>
                <w:rFonts w:ascii="Arial" w:hAnsi="Arial" w:cs="Arial"/>
                <w:color w:val="000000" w:themeColor="text1"/>
              </w:rPr>
              <w:t>ARTICULO 1</w:t>
            </w:r>
          </w:p>
        </w:tc>
        <w:tc>
          <w:tcPr>
            <w:tcW w:w="7088" w:type="dxa"/>
            <w:vAlign w:val="center"/>
          </w:tcPr>
          <w:p w:rsidR="00D86A1C" w:rsidRPr="00B514AD" w:rsidRDefault="002D17DE" w:rsidP="003F6A08">
            <w:pPr>
              <w:rPr>
                <w:rFonts w:ascii="Arial" w:hAnsi="Arial" w:cs="Arial"/>
                <w:color w:val="000000" w:themeColor="text1"/>
              </w:rPr>
            </w:pPr>
            <w:r w:rsidRPr="00B514AD">
              <w:rPr>
                <w:rFonts w:ascii="Arial" w:hAnsi="Arial" w:cs="Arial"/>
                <w:color w:val="000000" w:themeColor="text1"/>
              </w:rPr>
              <w:t>Objeto de la Ley</w:t>
            </w:r>
          </w:p>
        </w:tc>
      </w:tr>
      <w:tr w:rsidR="00995357" w:rsidRPr="00B514AD" w:rsidTr="003F6A08">
        <w:trPr>
          <w:trHeight w:val="567"/>
        </w:trPr>
        <w:tc>
          <w:tcPr>
            <w:tcW w:w="1843" w:type="dxa"/>
          </w:tcPr>
          <w:p w:rsidR="002D1358" w:rsidRPr="00B514AD" w:rsidRDefault="002D1358" w:rsidP="001404A8">
            <w:pPr>
              <w:jc w:val="both"/>
              <w:rPr>
                <w:rFonts w:ascii="Arial" w:hAnsi="Arial" w:cs="Arial"/>
                <w:color w:val="000000" w:themeColor="text1"/>
              </w:rPr>
            </w:pPr>
            <w:r w:rsidRPr="00B514AD">
              <w:rPr>
                <w:rFonts w:ascii="Arial" w:hAnsi="Arial" w:cs="Arial"/>
                <w:color w:val="000000" w:themeColor="text1"/>
              </w:rPr>
              <w:t>ARTICULO 2</w:t>
            </w:r>
          </w:p>
        </w:tc>
        <w:tc>
          <w:tcPr>
            <w:tcW w:w="7088" w:type="dxa"/>
            <w:vAlign w:val="center"/>
          </w:tcPr>
          <w:p w:rsidR="00995357" w:rsidRPr="00B514AD" w:rsidRDefault="002D17DE" w:rsidP="002D17DE">
            <w:pPr>
              <w:rPr>
                <w:rFonts w:ascii="Arial" w:hAnsi="Arial" w:cs="Arial"/>
                <w:color w:val="000000" w:themeColor="text1"/>
              </w:rPr>
            </w:pPr>
            <w:r w:rsidRPr="00B514AD">
              <w:rPr>
                <w:rFonts w:ascii="Arial" w:hAnsi="Arial" w:cs="Arial"/>
                <w:color w:val="000000" w:themeColor="text1"/>
              </w:rPr>
              <w:t>Modificación al Artículo 208 de la Ley 1448 de 2011, en el cual se define la vigencia de la ley por 20 años</w:t>
            </w:r>
          </w:p>
        </w:tc>
      </w:tr>
      <w:tr w:rsidR="00344A99" w:rsidRPr="00B514AD" w:rsidTr="003F6A08">
        <w:trPr>
          <w:trHeight w:val="567"/>
        </w:trPr>
        <w:tc>
          <w:tcPr>
            <w:tcW w:w="1843" w:type="dxa"/>
          </w:tcPr>
          <w:p w:rsidR="00344A99" w:rsidRPr="00B514AD" w:rsidRDefault="005377EC" w:rsidP="001404A8">
            <w:pPr>
              <w:jc w:val="both"/>
              <w:rPr>
                <w:rFonts w:ascii="Arial" w:hAnsi="Arial" w:cs="Arial"/>
                <w:color w:val="000000" w:themeColor="text1"/>
              </w:rPr>
            </w:pPr>
            <w:r>
              <w:rPr>
                <w:rFonts w:ascii="Arial" w:hAnsi="Arial" w:cs="Arial"/>
                <w:color w:val="000000" w:themeColor="text1"/>
              </w:rPr>
              <w:t>ARTICULO 3</w:t>
            </w:r>
          </w:p>
        </w:tc>
        <w:tc>
          <w:tcPr>
            <w:tcW w:w="7088" w:type="dxa"/>
            <w:vAlign w:val="center"/>
          </w:tcPr>
          <w:p w:rsidR="00344A99" w:rsidRPr="00B514AD" w:rsidRDefault="00B754A1" w:rsidP="003F6A08">
            <w:pPr>
              <w:rPr>
                <w:rFonts w:ascii="Arial" w:hAnsi="Arial" w:cs="Arial"/>
                <w:color w:val="000000" w:themeColor="text1"/>
              </w:rPr>
            </w:pPr>
            <w:r w:rsidRPr="00B514AD">
              <w:rPr>
                <w:rFonts w:ascii="Arial" w:hAnsi="Arial" w:cs="Arial"/>
                <w:color w:val="000000" w:themeColor="text1"/>
              </w:rPr>
              <w:t>Vigencia</w:t>
            </w:r>
            <w:r>
              <w:rPr>
                <w:rFonts w:ascii="Arial" w:hAnsi="Arial" w:cs="Arial"/>
                <w:color w:val="000000" w:themeColor="text1"/>
              </w:rPr>
              <w:t xml:space="preserve"> y derogatorias</w:t>
            </w:r>
          </w:p>
        </w:tc>
      </w:tr>
    </w:tbl>
    <w:p w:rsidR="00D86A1C" w:rsidRDefault="00D86A1C" w:rsidP="00FD487C">
      <w:pPr>
        <w:spacing w:after="0" w:line="240" w:lineRule="auto"/>
        <w:ind w:left="708"/>
        <w:jc w:val="both"/>
        <w:rPr>
          <w:rFonts w:ascii="Arial" w:hAnsi="Arial" w:cs="Arial"/>
          <w:color w:val="000000" w:themeColor="text1"/>
        </w:rPr>
      </w:pPr>
    </w:p>
    <w:p w:rsidR="005377EC" w:rsidRPr="00B514AD" w:rsidRDefault="005377EC" w:rsidP="005377EC">
      <w:pPr>
        <w:pStyle w:val="Listavistosa-nfasis11"/>
        <w:spacing w:after="0" w:line="240" w:lineRule="auto"/>
        <w:jc w:val="both"/>
        <w:rPr>
          <w:rFonts w:ascii="Arial" w:hAnsi="Arial" w:cs="Arial"/>
          <w:color w:val="000000" w:themeColor="text1"/>
          <w:lang w:val="es-ES_tradnl"/>
        </w:rPr>
      </w:pPr>
    </w:p>
    <w:p w:rsidR="005377EC" w:rsidRPr="00B514AD" w:rsidRDefault="005377EC" w:rsidP="005377E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 xml:space="preserve">ESTRUCTURA DEL PROYECTO </w:t>
      </w:r>
    </w:p>
    <w:p w:rsidR="005377EC" w:rsidRPr="00B514AD" w:rsidRDefault="005377EC" w:rsidP="005377EC">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5377EC" w:rsidRPr="00B514AD" w:rsidTr="005377EC">
        <w:tc>
          <w:tcPr>
            <w:tcW w:w="1843" w:type="dxa"/>
          </w:tcPr>
          <w:p w:rsidR="005377EC" w:rsidRPr="00B514AD" w:rsidRDefault="005377EC" w:rsidP="005377EC">
            <w:pPr>
              <w:jc w:val="center"/>
              <w:rPr>
                <w:rFonts w:ascii="Arial" w:hAnsi="Arial" w:cs="Arial"/>
                <w:b/>
                <w:color w:val="000000" w:themeColor="text1"/>
              </w:rPr>
            </w:pPr>
            <w:r w:rsidRPr="00B514AD">
              <w:rPr>
                <w:rFonts w:ascii="Arial" w:hAnsi="Arial" w:cs="Arial"/>
                <w:b/>
                <w:color w:val="000000" w:themeColor="text1"/>
              </w:rPr>
              <w:t>Articulado</w:t>
            </w:r>
          </w:p>
        </w:tc>
        <w:tc>
          <w:tcPr>
            <w:tcW w:w="7088" w:type="dxa"/>
          </w:tcPr>
          <w:p w:rsidR="005377EC" w:rsidRPr="00B514AD" w:rsidRDefault="005377EC" w:rsidP="00DF6D69">
            <w:pPr>
              <w:jc w:val="center"/>
              <w:rPr>
                <w:rFonts w:ascii="Arial" w:hAnsi="Arial" w:cs="Arial"/>
                <w:b/>
                <w:color w:val="000000" w:themeColor="text1"/>
              </w:rPr>
            </w:pPr>
            <w:r w:rsidRPr="00B514AD">
              <w:rPr>
                <w:rFonts w:ascii="Arial" w:hAnsi="Arial" w:cs="Arial"/>
                <w:b/>
                <w:color w:val="000000" w:themeColor="text1"/>
              </w:rPr>
              <w:t xml:space="preserve">Contenido Proyecto de Ley </w:t>
            </w:r>
            <w:r>
              <w:rPr>
                <w:rFonts w:ascii="Arial" w:hAnsi="Arial" w:cs="Arial"/>
                <w:b/>
                <w:color w:val="000000" w:themeColor="text1"/>
              </w:rPr>
              <w:t>247</w:t>
            </w:r>
            <w:r w:rsidRPr="00B514AD">
              <w:rPr>
                <w:rFonts w:ascii="Arial" w:hAnsi="Arial" w:cs="Arial"/>
                <w:b/>
                <w:color w:val="000000" w:themeColor="text1"/>
              </w:rPr>
              <w:t xml:space="preserve"> de 201</w:t>
            </w:r>
            <w:r>
              <w:rPr>
                <w:rFonts w:ascii="Arial" w:hAnsi="Arial" w:cs="Arial"/>
                <w:b/>
                <w:color w:val="000000" w:themeColor="text1"/>
              </w:rPr>
              <w:t>9</w:t>
            </w:r>
            <w:r w:rsidR="00983D0B">
              <w:rPr>
                <w:rFonts w:ascii="Arial" w:hAnsi="Arial" w:cs="Arial"/>
                <w:b/>
                <w:color w:val="000000" w:themeColor="text1"/>
              </w:rPr>
              <w:t xml:space="preserve"> Cámara </w:t>
            </w:r>
          </w:p>
        </w:tc>
      </w:tr>
      <w:tr w:rsidR="005377EC" w:rsidRPr="00B514AD" w:rsidTr="005377EC">
        <w:trPr>
          <w:trHeight w:val="567"/>
        </w:trPr>
        <w:tc>
          <w:tcPr>
            <w:tcW w:w="1843" w:type="dxa"/>
          </w:tcPr>
          <w:p w:rsidR="005377EC" w:rsidRPr="00B514AD" w:rsidRDefault="005377EC" w:rsidP="005377EC">
            <w:pPr>
              <w:jc w:val="both"/>
              <w:rPr>
                <w:rFonts w:ascii="Arial" w:hAnsi="Arial" w:cs="Arial"/>
                <w:color w:val="000000" w:themeColor="text1"/>
              </w:rPr>
            </w:pPr>
            <w:r w:rsidRPr="00B514AD">
              <w:rPr>
                <w:rFonts w:ascii="Arial" w:hAnsi="Arial" w:cs="Arial"/>
                <w:color w:val="000000" w:themeColor="text1"/>
              </w:rPr>
              <w:t>ARTICULO 1</w:t>
            </w:r>
          </w:p>
        </w:tc>
        <w:tc>
          <w:tcPr>
            <w:tcW w:w="7088" w:type="dxa"/>
            <w:vAlign w:val="center"/>
          </w:tcPr>
          <w:p w:rsidR="005377EC" w:rsidRPr="00B514AD" w:rsidRDefault="005377EC" w:rsidP="005377EC">
            <w:pPr>
              <w:rPr>
                <w:rFonts w:ascii="Arial" w:hAnsi="Arial" w:cs="Arial"/>
                <w:color w:val="000000" w:themeColor="text1"/>
              </w:rPr>
            </w:pPr>
            <w:r w:rsidRPr="00B514AD">
              <w:rPr>
                <w:rFonts w:ascii="Arial" w:hAnsi="Arial" w:cs="Arial"/>
                <w:color w:val="000000" w:themeColor="text1"/>
              </w:rPr>
              <w:t>Objeto de la Ley</w:t>
            </w:r>
          </w:p>
        </w:tc>
      </w:tr>
      <w:tr w:rsidR="005377EC" w:rsidRPr="00B514AD" w:rsidTr="005377EC">
        <w:trPr>
          <w:trHeight w:val="567"/>
        </w:trPr>
        <w:tc>
          <w:tcPr>
            <w:tcW w:w="1843" w:type="dxa"/>
          </w:tcPr>
          <w:p w:rsidR="005377EC" w:rsidRPr="00B514AD" w:rsidRDefault="005377EC" w:rsidP="005377EC">
            <w:pPr>
              <w:jc w:val="both"/>
              <w:rPr>
                <w:rFonts w:ascii="Arial" w:hAnsi="Arial" w:cs="Arial"/>
                <w:color w:val="000000" w:themeColor="text1"/>
              </w:rPr>
            </w:pPr>
            <w:r w:rsidRPr="00B514AD">
              <w:rPr>
                <w:rFonts w:ascii="Arial" w:hAnsi="Arial" w:cs="Arial"/>
                <w:color w:val="000000" w:themeColor="text1"/>
              </w:rPr>
              <w:t>ARTICULO 2</w:t>
            </w:r>
          </w:p>
        </w:tc>
        <w:tc>
          <w:tcPr>
            <w:tcW w:w="7088" w:type="dxa"/>
            <w:vAlign w:val="center"/>
          </w:tcPr>
          <w:p w:rsidR="005377EC" w:rsidRPr="00B514AD" w:rsidRDefault="005377EC" w:rsidP="005377EC">
            <w:pPr>
              <w:rPr>
                <w:rFonts w:ascii="Arial" w:hAnsi="Arial" w:cs="Arial"/>
                <w:color w:val="000000" w:themeColor="text1"/>
              </w:rPr>
            </w:pPr>
            <w:r w:rsidRPr="00B514AD">
              <w:rPr>
                <w:rFonts w:ascii="Arial" w:hAnsi="Arial" w:cs="Arial"/>
                <w:color w:val="000000" w:themeColor="text1"/>
              </w:rPr>
              <w:t>Modificación al Artículo 208 de la Ley 1448 de 2011, en el cual se define la vigencia de la ley por 20 años</w:t>
            </w:r>
          </w:p>
        </w:tc>
      </w:tr>
      <w:tr w:rsidR="005377EC" w:rsidRPr="00B514AD" w:rsidTr="005377EC">
        <w:trPr>
          <w:trHeight w:val="567"/>
        </w:trPr>
        <w:tc>
          <w:tcPr>
            <w:tcW w:w="1843" w:type="dxa"/>
          </w:tcPr>
          <w:p w:rsidR="005377EC" w:rsidRPr="00B514AD" w:rsidRDefault="005377EC" w:rsidP="005377EC">
            <w:pPr>
              <w:jc w:val="both"/>
              <w:rPr>
                <w:rFonts w:ascii="Arial" w:hAnsi="Arial" w:cs="Arial"/>
                <w:color w:val="000000" w:themeColor="text1"/>
              </w:rPr>
            </w:pPr>
            <w:r>
              <w:rPr>
                <w:rFonts w:ascii="Arial" w:hAnsi="Arial" w:cs="Arial"/>
                <w:color w:val="000000" w:themeColor="text1"/>
              </w:rPr>
              <w:t>ARTICULO 3</w:t>
            </w:r>
          </w:p>
        </w:tc>
        <w:tc>
          <w:tcPr>
            <w:tcW w:w="7088" w:type="dxa"/>
            <w:vAlign w:val="center"/>
          </w:tcPr>
          <w:p w:rsidR="005377EC" w:rsidRPr="00E6230D" w:rsidRDefault="005377EC" w:rsidP="005377EC">
            <w:pPr>
              <w:rPr>
                <w:rFonts w:ascii="Arial" w:hAnsi="Arial" w:cs="Arial"/>
                <w:color w:val="000000" w:themeColor="text1"/>
              </w:rPr>
            </w:pPr>
            <w:r w:rsidRPr="00E6230D">
              <w:rPr>
                <w:rFonts w:ascii="Arial" w:hAnsi="Arial" w:cs="Arial"/>
              </w:rPr>
              <w:t xml:space="preserve">Modificación al artículo 194 del Decreto Ley 4633 de 2011. </w:t>
            </w:r>
            <w:r w:rsidRPr="00E6230D">
              <w:rPr>
                <w:rFonts w:ascii="Arial" w:hAnsi="Arial" w:cs="Arial"/>
                <w:color w:val="000000" w:themeColor="text1"/>
              </w:rPr>
              <w:t>en el cual se define la vigencia del Decreto Ley por 20 años</w:t>
            </w:r>
          </w:p>
        </w:tc>
      </w:tr>
      <w:tr w:rsidR="005377EC" w:rsidRPr="00B514AD" w:rsidTr="005377EC">
        <w:trPr>
          <w:trHeight w:val="567"/>
        </w:trPr>
        <w:tc>
          <w:tcPr>
            <w:tcW w:w="1843" w:type="dxa"/>
          </w:tcPr>
          <w:p w:rsidR="005377EC" w:rsidRPr="00B514AD" w:rsidRDefault="005377EC" w:rsidP="005377EC">
            <w:pPr>
              <w:jc w:val="both"/>
              <w:rPr>
                <w:rFonts w:ascii="Arial" w:hAnsi="Arial" w:cs="Arial"/>
                <w:color w:val="000000" w:themeColor="text1"/>
              </w:rPr>
            </w:pPr>
            <w:r>
              <w:rPr>
                <w:rFonts w:ascii="Arial" w:hAnsi="Arial" w:cs="Arial"/>
                <w:color w:val="000000" w:themeColor="text1"/>
              </w:rPr>
              <w:t>ARTICULO 4</w:t>
            </w:r>
          </w:p>
        </w:tc>
        <w:tc>
          <w:tcPr>
            <w:tcW w:w="7088" w:type="dxa"/>
            <w:vAlign w:val="center"/>
          </w:tcPr>
          <w:p w:rsidR="005377EC" w:rsidRPr="00E6230D" w:rsidRDefault="005377EC" w:rsidP="005377EC">
            <w:pPr>
              <w:rPr>
                <w:rFonts w:ascii="Arial" w:hAnsi="Arial" w:cs="Arial"/>
                <w:color w:val="000000" w:themeColor="text1"/>
              </w:rPr>
            </w:pPr>
            <w:r w:rsidRPr="00E6230D">
              <w:rPr>
                <w:rFonts w:ascii="Arial" w:hAnsi="Arial" w:cs="Arial"/>
              </w:rPr>
              <w:t xml:space="preserve">Modificación al artículo 123 del Decreto Ley 4634 de 2011 de 2011. </w:t>
            </w:r>
            <w:r w:rsidRPr="00E6230D">
              <w:rPr>
                <w:rFonts w:ascii="Arial" w:hAnsi="Arial" w:cs="Arial"/>
                <w:color w:val="000000" w:themeColor="text1"/>
              </w:rPr>
              <w:t>en el cual se define la vigencia del Decreto Ley por 20 años</w:t>
            </w:r>
          </w:p>
        </w:tc>
      </w:tr>
      <w:tr w:rsidR="005377EC" w:rsidRPr="00B514AD" w:rsidTr="005377EC">
        <w:trPr>
          <w:trHeight w:val="567"/>
        </w:trPr>
        <w:tc>
          <w:tcPr>
            <w:tcW w:w="1843" w:type="dxa"/>
          </w:tcPr>
          <w:p w:rsidR="005377EC" w:rsidRPr="00B514AD" w:rsidRDefault="005377EC" w:rsidP="005377EC">
            <w:pPr>
              <w:jc w:val="both"/>
              <w:rPr>
                <w:rFonts w:ascii="Arial" w:hAnsi="Arial" w:cs="Arial"/>
                <w:color w:val="000000" w:themeColor="text1"/>
              </w:rPr>
            </w:pPr>
            <w:r>
              <w:rPr>
                <w:rFonts w:ascii="Arial" w:hAnsi="Arial" w:cs="Arial"/>
                <w:color w:val="000000" w:themeColor="text1"/>
              </w:rPr>
              <w:t>ARTICULO 5</w:t>
            </w:r>
          </w:p>
        </w:tc>
        <w:tc>
          <w:tcPr>
            <w:tcW w:w="7088" w:type="dxa"/>
            <w:vAlign w:val="center"/>
          </w:tcPr>
          <w:p w:rsidR="005377EC" w:rsidRPr="00E6230D" w:rsidRDefault="005377EC" w:rsidP="005377EC">
            <w:pPr>
              <w:rPr>
                <w:rFonts w:ascii="Arial" w:hAnsi="Arial" w:cs="Arial"/>
                <w:color w:val="000000" w:themeColor="text1"/>
              </w:rPr>
            </w:pPr>
            <w:r w:rsidRPr="00E6230D">
              <w:rPr>
                <w:rFonts w:ascii="Arial" w:hAnsi="Arial" w:cs="Arial"/>
              </w:rPr>
              <w:t xml:space="preserve">Modificación al artículo 156 del Decreto Ley 4635 de 2011. </w:t>
            </w:r>
            <w:r w:rsidRPr="00E6230D">
              <w:rPr>
                <w:rFonts w:ascii="Arial" w:hAnsi="Arial" w:cs="Arial"/>
                <w:color w:val="000000" w:themeColor="text1"/>
              </w:rPr>
              <w:t>en el cual se define la vigencia del Decreto Ley por 20 años</w:t>
            </w:r>
          </w:p>
        </w:tc>
      </w:tr>
      <w:tr w:rsidR="005377EC" w:rsidRPr="00B514AD" w:rsidTr="005377EC">
        <w:trPr>
          <w:trHeight w:val="567"/>
        </w:trPr>
        <w:tc>
          <w:tcPr>
            <w:tcW w:w="1843" w:type="dxa"/>
          </w:tcPr>
          <w:p w:rsidR="005377EC" w:rsidRPr="00B514AD" w:rsidRDefault="005377EC" w:rsidP="005377EC">
            <w:pPr>
              <w:jc w:val="both"/>
              <w:rPr>
                <w:rFonts w:ascii="Arial" w:hAnsi="Arial" w:cs="Arial"/>
                <w:color w:val="000000" w:themeColor="text1"/>
              </w:rPr>
            </w:pPr>
            <w:r>
              <w:rPr>
                <w:rFonts w:ascii="Arial" w:hAnsi="Arial" w:cs="Arial"/>
                <w:color w:val="000000" w:themeColor="text1"/>
              </w:rPr>
              <w:t>ARTICULO 6</w:t>
            </w:r>
          </w:p>
        </w:tc>
        <w:tc>
          <w:tcPr>
            <w:tcW w:w="7088" w:type="dxa"/>
            <w:vAlign w:val="center"/>
          </w:tcPr>
          <w:p w:rsidR="005377EC" w:rsidRPr="00B514AD" w:rsidRDefault="005377EC" w:rsidP="005377EC">
            <w:pPr>
              <w:rPr>
                <w:rFonts w:ascii="Arial" w:hAnsi="Arial" w:cs="Arial"/>
                <w:color w:val="000000" w:themeColor="text1"/>
              </w:rPr>
            </w:pPr>
            <w:r w:rsidRPr="00B514AD">
              <w:rPr>
                <w:rFonts w:ascii="Arial" w:hAnsi="Arial" w:cs="Arial"/>
                <w:color w:val="000000" w:themeColor="text1"/>
              </w:rPr>
              <w:t>Vigencia</w:t>
            </w:r>
            <w:r>
              <w:rPr>
                <w:rFonts w:ascii="Arial" w:hAnsi="Arial" w:cs="Arial"/>
                <w:color w:val="000000" w:themeColor="text1"/>
              </w:rPr>
              <w:t xml:space="preserve"> y derogatorias</w:t>
            </w:r>
          </w:p>
        </w:tc>
      </w:tr>
    </w:tbl>
    <w:p w:rsidR="005377EC" w:rsidRDefault="005377EC" w:rsidP="00FD487C">
      <w:pPr>
        <w:spacing w:after="0" w:line="240" w:lineRule="auto"/>
        <w:ind w:left="708"/>
        <w:jc w:val="both"/>
        <w:rPr>
          <w:rFonts w:ascii="Arial" w:hAnsi="Arial" w:cs="Arial"/>
          <w:color w:val="000000" w:themeColor="text1"/>
        </w:rPr>
      </w:pPr>
    </w:p>
    <w:p w:rsidR="005377EC" w:rsidRPr="00B514AD" w:rsidRDefault="005377EC" w:rsidP="00FD487C">
      <w:pPr>
        <w:spacing w:after="0" w:line="240" w:lineRule="auto"/>
        <w:ind w:left="708"/>
        <w:jc w:val="both"/>
        <w:rPr>
          <w:rFonts w:ascii="Arial" w:hAnsi="Arial" w:cs="Arial"/>
          <w:color w:val="000000" w:themeColor="text1"/>
        </w:rPr>
      </w:pPr>
    </w:p>
    <w:p w:rsidR="003B16B4" w:rsidRPr="00B514AD" w:rsidRDefault="000F36DB" w:rsidP="00FD487C">
      <w:pPr>
        <w:pBdr>
          <w:top w:val="single" w:sz="8" w:space="1" w:color="auto"/>
          <w:left w:val="single" w:sz="8" w:space="0" w:color="auto"/>
          <w:bottom w:val="single" w:sz="8" w:space="1" w:color="auto"/>
          <w:right w:val="single" w:sz="8"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lastRenderedPageBreak/>
        <w:t>CONSIDERACIONES GENERALES</w:t>
      </w:r>
    </w:p>
    <w:p w:rsidR="000A6F0F" w:rsidRPr="00B514AD" w:rsidRDefault="000A6F0F" w:rsidP="000A6F0F">
      <w:pPr>
        <w:spacing w:after="0" w:line="240" w:lineRule="auto"/>
        <w:jc w:val="both"/>
        <w:rPr>
          <w:rFonts w:ascii="Arial" w:hAnsi="Arial" w:cs="Arial"/>
          <w:color w:val="000000" w:themeColor="text1"/>
        </w:rPr>
      </w:pPr>
    </w:p>
    <w:p w:rsidR="00052E56" w:rsidRPr="00B514AD" w:rsidRDefault="00052E56" w:rsidP="000A6F0F">
      <w:pPr>
        <w:spacing w:after="0" w:line="240" w:lineRule="auto"/>
        <w:jc w:val="both"/>
        <w:rPr>
          <w:rFonts w:ascii="Arial" w:hAnsi="Arial" w:cs="Arial"/>
          <w:b/>
          <w:color w:val="000000" w:themeColor="text1"/>
        </w:rPr>
      </w:pPr>
      <w:r w:rsidRPr="00B514AD">
        <w:rPr>
          <w:rFonts w:ascii="Arial" w:hAnsi="Arial" w:cs="Arial"/>
          <w:b/>
          <w:color w:val="000000" w:themeColor="text1"/>
        </w:rPr>
        <w:t>ANTECEDENTES</w:t>
      </w:r>
    </w:p>
    <w:p w:rsidR="00052E56" w:rsidRPr="00B514AD" w:rsidRDefault="00052E56" w:rsidP="000A6F0F">
      <w:pPr>
        <w:spacing w:after="0" w:line="240" w:lineRule="auto"/>
        <w:jc w:val="both"/>
        <w:rPr>
          <w:rFonts w:ascii="Arial" w:hAnsi="Arial" w:cs="Arial"/>
          <w:color w:val="000000" w:themeColor="text1"/>
        </w:rPr>
      </w:pPr>
    </w:p>
    <w:p w:rsidR="00EC5F4C" w:rsidRPr="00B514AD" w:rsidRDefault="00EC5F4C" w:rsidP="00EC5F4C">
      <w:pPr>
        <w:tabs>
          <w:tab w:val="left" w:pos="833"/>
        </w:tabs>
        <w:spacing w:before="93"/>
        <w:ind w:left="434"/>
        <w:rPr>
          <w:rFonts w:ascii="Arial" w:hAnsi="Arial" w:cs="Arial"/>
          <w:b/>
        </w:rPr>
      </w:pPr>
      <w:r w:rsidRPr="00B514AD">
        <w:rPr>
          <w:rFonts w:ascii="Arial" w:hAnsi="Arial" w:cs="Arial"/>
          <w:b/>
          <w:color w:val="231F20"/>
        </w:rPr>
        <w:t>l.</w:t>
      </w:r>
      <w:r w:rsidRPr="00B514AD">
        <w:rPr>
          <w:rFonts w:ascii="Arial" w:hAnsi="Arial" w:cs="Arial"/>
          <w:b/>
          <w:color w:val="231F20"/>
        </w:rPr>
        <w:tab/>
        <w:t>La vigencia de la Ley 1448</w:t>
      </w:r>
      <w:r w:rsidR="00B754A1">
        <w:rPr>
          <w:rFonts w:ascii="Arial" w:hAnsi="Arial" w:cs="Arial"/>
          <w:b/>
          <w:color w:val="231F20"/>
        </w:rPr>
        <w:t xml:space="preserve"> y los Decretos de Ley </w:t>
      </w:r>
      <w:r w:rsidR="00B4772B">
        <w:rPr>
          <w:rFonts w:ascii="Arial" w:hAnsi="Arial" w:cs="Arial"/>
          <w:b/>
          <w:color w:val="231F20"/>
        </w:rPr>
        <w:t>Étnicos</w:t>
      </w:r>
    </w:p>
    <w:p w:rsidR="00EC5F4C" w:rsidRPr="00B514AD" w:rsidRDefault="00EC5F4C" w:rsidP="00017F19">
      <w:pPr>
        <w:pStyle w:val="Textoindependiente"/>
        <w:spacing w:before="87" w:line="237" w:lineRule="auto"/>
        <w:ind w:left="154" w:right="159" w:firstLine="283"/>
        <w:jc w:val="both"/>
        <w:rPr>
          <w:rFonts w:ascii="Arial" w:hAnsi="Arial" w:cs="Arial"/>
        </w:rPr>
      </w:pPr>
      <w:r w:rsidRPr="00B514AD">
        <w:rPr>
          <w:rFonts w:ascii="Arial" w:hAnsi="Arial" w:cs="Arial"/>
          <w:color w:val="231F20"/>
        </w:rPr>
        <w:t>El</w:t>
      </w:r>
      <w:r w:rsidRPr="00B514AD">
        <w:rPr>
          <w:rFonts w:ascii="Arial" w:hAnsi="Arial" w:cs="Arial"/>
          <w:color w:val="231F20"/>
          <w:spacing w:val="-8"/>
        </w:rPr>
        <w:t xml:space="preserve"> </w:t>
      </w:r>
      <w:r w:rsidRPr="00B514AD">
        <w:rPr>
          <w:rFonts w:ascii="Arial" w:hAnsi="Arial" w:cs="Arial"/>
          <w:color w:val="231F20"/>
        </w:rPr>
        <w:t>artículo</w:t>
      </w:r>
      <w:r w:rsidRPr="00B514AD">
        <w:rPr>
          <w:rFonts w:ascii="Arial" w:hAnsi="Arial" w:cs="Arial"/>
          <w:color w:val="231F20"/>
          <w:spacing w:val="-8"/>
        </w:rPr>
        <w:t xml:space="preserve"> </w:t>
      </w:r>
      <w:r w:rsidRPr="00B514AD">
        <w:rPr>
          <w:rFonts w:ascii="Arial" w:hAnsi="Arial" w:cs="Arial"/>
          <w:color w:val="231F20"/>
        </w:rPr>
        <w:t>208</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8"/>
        </w:rPr>
        <w:t xml:space="preserve"> </w:t>
      </w:r>
      <w:r w:rsidRPr="00B514AD">
        <w:rPr>
          <w:rFonts w:ascii="Arial" w:hAnsi="Arial" w:cs="Arial"/>
          <w:color w:val="231F20"/>
        </w:rPr>
        <w:t>Ley</w:t>
      </w:r>
      <w:r w:rsidRPr="00B514AD">
        <w:rPr>
          <w:rFonts w:ascii="Arial" w:hAnsi="Arial" w:cs="Arial"/>
          <w:color w:val="231F20"/>
          <w:spacing w:val="-8"/>
        </w:rPr>
        <w:t xml:space="preserve"> </w:t>
      </w:r>
      <w:r w:rsidRPr="00B514AD">
        <w:rPr>
          <w:rFonts w:ascii="Arial" w:hAnsi="Arial" w:cs="Arial"/>
          <w:color w:val="231F20"/>
        </w:rPr>
        <w:t>1448</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spacing w:val="-3"/>
        </w:rPr>
        <w:t>2011</w:t>
      </w:r>
      <w:r w:rsidRPr="00B514AD">
        <w:rPr>
          <w:rFonts w:ascii="Arial" w:hAnsi="Arial" w:cs="Arial"/>
          <w:color w:val="231F20"/>
          <w:spacing w:val="-8"/>
        </w:rPr>
        <w:t xml:space="preserve"> </w:t>
      </w:r>
      <w:r w:rsidRPr="00B514AD">
        <w:rPr>
          <w:rFonts w:ascii="Arial" w:hAnsi="Arial" w:cs="Arial"/>
          <w:color w:val="231F20"/>
        </w:rPr>
        <w:t>tiene</w:t>
      </w:r>
      <w:r w:rsidRPr="00B514AD">
        <w:rPr>
          <w:rFonts w:ascii="Arial" w:hAnsi="Arial" w:cs="Arial"/>
          <w:color w:val="231F20"/>
          <w:spacing w:val="-8"/>
        </w:rPr>
        <w:t xml:space="preserve"> </w:t>
      </w:r>
      <w:r w:rsidRPr="00B514AD">
        <w:rPr>
          <w:rFonts w:ascii="Arial" w:hAnsi="Arial" w:cs="Arial"/>
          <w:color w:val="231F20"/>
        </w:rPr>
        <w:t>un triple alcance, por un lado fija el alcance</w:t>
      </w:r>
      <w:r w:rsidRPr="00B514AD">
        <w:rPr>
          <w:rFonts w:ascii="Arial" w:hAnsi="Arial" w:cs="Arial"/>
          <w:color w:val="231F20"/>
          <w:spacing w:val="-40"/>
        </w:rPr>
        <w:t xml:space="preserve"> </w:t>
      </w:r>
      <w:r w:rsidRPr="00B514AD">
        <w:rPr>
          <w:rFonts w:ascii="Arial" w:hAnsi="Arial" w:cs="Arial"/>
          <w:color w:val="231F20"/>
        </w:rPr>
        <w:t>temporal de la norma mencionada, indicando que la misma tendrá una vigencia de 10 años, lo que significa que vencido este plazo deberá dejar de producir efectos jurídicos, este plazo se vencerá en 2021; además, deroga expresamente cuatro artículos pertenecientes a la Ley 975 de 2004, establece el deber de presentación de informes por parte del Gobierno</w:t>
      </w:r>
      <w:r w:rsidRPr="00B514AD">
        <w:rPr>
          <w:rFonts w:ascii="Arial" w:hAnsi="Arial" w:cs="Arial"/>
          <w:color w:val="231F20"/>
          <w:spacing w:val="-10"/>
        </w:rPr>
        <w:t xml:space="preserve"> </w:t>
      </w:r>
      <w:r w:rsidRPr="00B514AD">
        <w:rPr>
          <w:rFonts w:ascii="Arial" w:hAnsi="Arial" w:cs="Arial"/>
          <w:color w:val="231F20"/>
        </w:rPr>
        <w:t>nacional</w:t>
      </w:r>
      <w:r w:rsidRPr="00B514AD">
        <w:rPr>
          <w:rFonts w:ascii="Arial" w:hAnsi="Arial" w:cs="Arial"/>
          <w:color w:val="231F20"/>
          <w:spacing w:val="-10"/>
        </w:rPr>
        <w:t xml:space="preserve"> </w:t>
      </w:r>
      <w:r w:rsidRPr="00B514AD">
        <w:rPr>
          <w:rFonts w:ascii="Arial" w:hAnsi="Arial" w:cs="Arial"/>
          <w:color w:val="231F20"/>
        </w:rPr>
        <w:t>y</w:t>
      </w:r>
      <w:r w:rsidRPr="00B514AD">
        <w:rPr>
          <w:rFonts w:ascii="Arial" w:hAnsi="Arial" w:cs="Arial"/>
          <w:color w:val="231F20"/>
          <w:spacing w:val="-9"/>
        </w:rPr>
        <w:t xml:space="preserve"> </w:t>
      </w:r>
      <w:r w:rsidRPr="00B514AD">
        <w:rPr>
          <w:rFonts w:ascii="Arial" w:hAnsi="Arial" w:cs="Arial"/>
          <w:color w:val="231F20"/>
        </w:rPr>
        <w:t>finalmente</w:t>
      </w:r>
      <w:r w:rsidRPr="00B514AD">
        <w:rPr>
          <w:rFonts w:ascii="Arial" w:hAnsi="Arial" w:cs="Arial"/>
          <w:color w:val="231F20"/>
          <w:spacing w:val="-10"/>
        </w:rPr>
        <w:t xml:space="preserve"> </w:t>
      </w:r>
      <w:r w:rsidRPr="00B514AD">
        <w:rPr>
          <w:rFonts w:ascii="Arial" w:hAnsi="Arial" w:cs="Arial"/>
          <w:color w:val="231F20"/>
        </w:rPr>
        <w:t>establece</w:t>
      </w:r>
      <w:r w:rsidRPr="00B514AD">
        <w:rPr>
          <w:rFonts w:ascii="Arial" w:hAnsi="Arial" w:cs="Arial"/>
          <w:color w:val="231F20"/>
          <w:spacing w:val="-9"/>
        </w:rPr>
        <w:t xml:space="preserve"> </w:t>
      </w:r>
      <w:r w:rsidRPr="00B514AD">
        <w:rPr>
          <w:rFonts w:ascii="Arial" w:hAnsi="Arial" w:cs="Arial"/>
          <w:color w:val="231F20"/>
        </w:rPr>
        <w:t>el</w:t>
      </w:r>
      <w:r w:rsidRPr="00B514AD">
        <w:rPr>
          <w:rFonts w:ascii="Arial" w:hAnsi="Arial" w:cs="Arial"/>
          <w:color w:val="231F20"/>
          <w:spacing w:val="-10"/>
        </w:rPr>
        <w:t xml:space="preserve"> </w:t>
      </w:r>
      <w:r w:rsidRPr="00B514AD">
        <w:rPr>
          <w:rFonts w:ascii="Arial" w:hAnsi="Arial" w:cs="Arial"/>
          <w:color w:val="231F20"/>
        </w:rPr>
        <w:t xml:space="preserve">deber del </w:t>
      </w:r>
      <w:r w:rsidRPr="00B514AD">
        <w:rPr>
          <w:rFonts w:ascii="Arial" w:hAnsi="Arial" w:cs="Arial"/>
          <w:i/>
          <w:color w:val="231F20"/>
        </w:rPr>
        <w:t xml:space="preserve">Congreso de la República de pronunciarse </w:t>
      </w:r>
      <w:r w:rsidRPr="00B514AD">
        <w:rPr>
          <w:rFonts w:ascii="Arial" w:hAnsi="Arial" w:cs="Arial"/>
          <w:i/>
          <w:color w:val="231F20"/>
          <w:spacing w:val="-3"/>
        </w:rPr>
        <w:t xml:space="preserve">sobre </w:t>
      </w:r>
      <w:r w:rsidRPr="00B514AD">
        <w:rPr>
          <w:rFonts w:ascii="Arial" w:hAnsi="Arial" w:cs="Arial"/>
          <w:i/>
          <w:color w:val="231F20"/>
        </w:rPr>
        <w:t>el cumplimiento de la ley un año antes de cumplirse su</w:t>
      </w:r>
      <w:r w:rsidRPr="00B514AD">
        <w:rPr>
          <w:rFonts w:ascii="Arial" w:hAnsi="Arial" w:cs="Arial"/>
          <w:i/>
          <w:color w:val="231F20"/>
          <w:spacing w:val="-2"/>
        </w:rPr>
        <w:t xml:space="preserve"> </w:t>
      </w:r>
      <w:r w:rsidRPr="00B514AD">
        <w:rPr>
          <w:rFonts w:ascii="Arial" w:hAnsi="Arial" w:cs="Arial"/>
          <w:i/>
          <w:color w:val="231F20"/>
        </w:rPr>
        <w:t>vigencia</w:t>
      </w:r>
      <w:r w:rsidRPr="00B514AD">
        <w:rPr>
          <w:rFonts w:ascii="Arial" w:hAnsi="Arial" w:cs="Arial"/>
          <w:color w:val="231F20"/>
        </w:rPr>
        <w:t>.</w:t>
      </w:r>
    </w:p>
    <w:p w:rsidR="00EC5F4C" w:rsidRDefault="00EC5F4C" w:rsidP="00017F19">
      <w:pPr>
        <w:pStyle w:val="Textoindependiente"/>
        <w:spacing w:before="95" w:line="237" w:lineRule="auto"/>
        <w:ind w:left="154" w:right="160" w:firstLine="283"/>
        <w:jc w:val="both"/>
        <w:rPr>
          <w:rFonts w:ascii="Arial" w:hAnsi="Arial" w:cs="Arial"/>
          <w:color w:val="231F20"/>
        </w:rPr>
      </w:pPr>
      <w:r w:rsidRPr="00B514AD">
        <w:rPr>
          <w:rFonts w:ascii="Arial" w:hAnsi="Arial" w:cs="Arial"/>
          <w:color w:val="231F20"/>
        </w:rPr>
        <w:t>En ese orden de ideas, el artículo 208 contempla un triple contenido a) la vigencia de la ley en el tiempo, b) los deberes del ejecutivo y   el Congreso frente al seguimiento y verificación de su cumplimiento y c) la armonización - derogatorias- con marcos normativos anteriores. Sin embargo, en el presente caso sólo se debate sobre el primero de los contenidos enunciados en orden a determinar si se encuentra o no dentro de los estándares constitucionales.</w:t>
      </w:r>
    </w:p>
    <w:p w:rsidR="001C40F0" w:rsidRDefault="001C40F0" w:rsidP="002821CE">
      <w:pPr>
        <w:pStyle w:val="Textoindependiente"/>
        <w:spacing w:before="95" w:line="237" w:lineRule="auto"/>
        <w:ind w:left="154" w:right="160" w:firstLine="283"/>
        <w:jc w:val="both"/>
        <w:rPr>
          <w:rFonts w:eastAsia="Calibri" w:cs="Calibri"/>
          <w:sz w:val="26"/>
        </w:rPr>
      </w:pPr>
      <w:r w:rsidRPr="001C40F0">
        <w:rPr>
          <w:rFonts w:ascii="Arial" w:hAnsi="Arial" w:cs="Arial"/>
        </w:rPr>
        <w:t>El artículo 194 del Decreto Ley 4633 de 2011, Decreto por el cual se dictan medidas de asistencia, atención, reparación integral y de restitución de derechos territoriales a las víctimas pertenecientes a los pueblos y comunidades indígenas, el cual fue expedido</w:t>
      </w:r>
      <w:r>
        <w:rPr>
          <w:rFonts w:ascii="Arial" w:hAnsi="Arial" w:cs="Arial"/>
        </w:rPr>
        <w:t xml:space="preserve"> lu</w:t>
      </w:r>
      <w:r w:rsidRPr="001C40F0">
        <w:rPr>
          <w:rFonts w:ascii="Arial" w:hAnsi="Arial" w:cs="Arial"/>
        </w:rPr>
        <w:t xml:space="preserve">ego de la aprobación de la Ley 1448 de 2011. El artículo 123 del Decreto Ley 4634 de 2011, Decreto por el </w:t>
      </w:r>
      <w:r w:rsidRPr="001C40F0">
        <w:rPr>
          <w:rFonts w:ascii="Arial" w:eastAsia="Courier New" w:hAnsi="Arial" w:cs="Arial"/>
        </w:rPr>
        <w:t xml:space="preserve">cual se dictan medidas de Asistencia, Atención, Reparación Integral y Restitución de </w:t>
      </w:r>
      <w:r w:rsidRPr="001C40F0">
        <w:rPr>
          <w:rFonts w:ascii="Arial" w:hAnsi="Arial" w:cs="Arial"/>
        </w:rPr>
        <w:t xml:space="preserve">Tierras a las víctimas pertenecientes al pueblo Rrom o Gitano. Y El artículo 156 del Decreto Ley 4635 de 2011, Decreto por el cual se dictan medidas de asistencia, atención, reparación integral y de restitución de tierras a las víctimas pertenecientes a comunidades negras, afrocolombianas, raizales </w:t>
      </w:r>
      <w:r w:rsidRPr="001C40F0">
        <w:rPr>
          <w:rFonts w:ascii="Arial" w:eastAsia="Courier New" w:hAnsi="Arial" w:cs="Arial"/>
        </w:rPr>
        <w:t>y palenqueras, requieren ampliarse para garantizar la normatividad y la institucionalidad para</w:t>
      </w:r>
      <w:r>
        <w:rPr>
          <w:rFonts w:ascii="Arial" w:eastAsia="Courier New" w:hAnsi="Arial" w:cs="Arial"/>
        </w:rPr>
        <w:t xml:space="preserve"> la </w:t>
      </w:r>
      <w:r w:rsidR="00B4772B">
        <w:rPr>
          <w:rFonts w:ascii="Arial" w:eastAsia="Courier New" w:hAnsi="Arial" w:cs="Arial"/>
        </w:rPr>
        <w:t>protección de</w:t>
      </w:r>
      <w:r>
        <w:rPr>
          <w:rFonts w:ascii="Arial" w:eastAsia="Courier New" w:hAnsi="Arial" w:cs="Arial"/>
        </w:rPr>
        <w:t xml:space="preserve"> los derechos d</w:t>
      </w:r>
      <w:r w:rsidRPr="001C40F0">
        <w:rPr>
          <w:rFonts w:ascii="Arial" w:eastAsia="Courier New" w:hAnsi="Arial" w:cs="Arial"/>
        </w:rPr>
        <w:t>e</w:t>
      </w:r>
      <w:r>
        <w:rPr>
          <w:rFonts w:ascii="Arial" w:eastAsia="Courier New" w:hAnsi="Arial" w:cs="Arial"/>
        </w:rPr>
        <w:t xml:space="preserve"> </w:t>
      </w:r>
      <w:r w:rsidR="002821CE">
        <w:rPr>
          <w:rFonts w:ascii="Arial" w:eastAsia="Courier New" w:hAnsi="Arial" w:cs="Arial"/>
        </w:rPr>
        <w:t xml:space="preserve">los pueblos y grupos étnicos. </w:t>
      </w:r>
    </w:p>
    <w:p w:rsidR="001C40F0" w:rsidRDefault="00B754A1" w:rsidP="002821CE">
      <w:pPr>
        <w:pStyle w:val="Textoindependiente"/>
        <w:spacing w:before="95" w:line="237" w:lineRule="auto"/>
        <w:ind w:left="154" w:right="160" w:firstLine="283"/>
        <w:jc w:val="both"/>
      </w:pPr>
      <w:r>
        <w:rPr>
          <w:rFonts w:eastAsia="Calibri" w:cs="Calibri"/>
          <w:sz w:val="26"/>
        </w:rPr>
        <w:t xml:space="preserve">Ahora bien, </w:t>
      </w:r>
      <w:r w:rsidR="001C40F0">
        <w:rPr>
          <w:rFonts w:eastAsia="Calibri" w:cs="Calibri"/>
          <w:sz w:val="26"/>
        </w:rPr>
        <w:t xml:space="preserve">como lo señala la H.R. María José Pizarro </w:t>
      </w:r>
      <w:r>
        <w:rPr>
          <w:rFonts w:eastAsia="Calibri" w:cs="Calibri"/>
          <w:sz w:val="26"/>
        </w:rPr>
        <w:t xml:space="preserve">es clara la función legislativa del Congreso de la República derivada de la propia Constitución y expresada en la jurisprudencia de la </w:t>
      </w:r>
      <w:r w:rsidR="00EA7EAF">
        <w:rPr>
          <w:rFonts w:eastAsia="Calibri" w:cs="Calibri"/>
          <w:sz w:val="26"/>
        </w:rPr>
        <w:t xml:space="preserve">Honorable </w:t>
      </w:r>
      <w:r>
        <w:rPr>
          <w:rFonts w:eastAsia="Calibri" w:cs="Calibri"/>
          <w:sz w:val="26"/>
        </w:rPr>
        <w:t>Corte</w:t>
      </w:r>
      <w:r w:rsidR="00EA7EAF">
        <w:rPr>
          <w:rFonts w:eastAsia="Calibri" w:cs="Calibri"/>
          <w:sz w:val="26"/>
        </w:rPr>
        <w:t xml:space="preserve"> Constitucional Colombiana</w:t>
      </w:r>
      <w:r>
        <w:rPr>
          <w:rFonts w:eastAsia="Calibri" w:cs="Calibri"/>
          <w:sz w:val="26"/>
        </w:rPr>
        <w:t>, donde se resalta: "El Congreso de la República, por mandato constitucional, tiene la facultad de hacer las leyes. Como resultado de esta cláusula general de competencia, otorgada por la propia Constitución, el legislador goza de una amplia libertad para determinar y establecer la configuración normativa que debe regir nuestro país. Dicha libertad se encuentra</w:t>
      </w:r>
      <w:r w:rsidR="001C40F0" w:rsidRPr="001C40F0">
        <w:t xml:space="preserve"> </w:t>
      </w:r>
      <w:r w:rsidR="001C40F0">
        <w:t xml:space="preserve">realzada en la posibilidad discrecional para (i) expedir las leyes in genere, (ii) interpretarlas, Ciii) reformarlas y (iv) derogarlas." </w:t>
      </w:r>
    </w:p>
    <w:p w:rsidR="002821CE" w:rsidRDefault="002821CE" w:rsidP="002821CE">
      <w:pPr>
        <w:pStyle w:val="Textoindependiente"/>
        <w:spacing w:before="95" w:line="237" w:lineRule="auto"/>
        <w:ind w:left="154" w:right="160" w:firstLine="283"/>
        <w:jc w:val="both"/>
      </w:pPr>
    </w:p>
    <w:p w:rsidR="00EC5F4C" w:rsidRDefault="00EC5F4C" w:rsidP="00017F19">
      <w:pPr>
        <w:tabs>
          <w:tab w:val="left" w:pos="833"/>
        </w:tabs>
        <w:spacing w:before="100" w:line="249" w:lineRule="auto"/>
        <w:ind w:left="834" w:right="160" w:hanging="400"/>
        <w:jc w:val="both"/>
        <w:rPr>
          <w:rFonts w:ascii="Arial" w:hAnsi="Arial" w:cs="Arial"/>
          <w:b/>
          <w:color w:val="231F20"/>
        </w:rPr>
      </w:pPr>
      <w:r w:rsidRPr="00B514AD">
        <w:rPr>
          <w:rFonts w:ascii="Arial" w:hAnsi="Arial" w:cs="Arial"/>
          <w:b/>
          <w:color w:val="231F20"/>
        </w:rPr>
        <w:t>2.</w:t>
      </w:r>
      <w:r w:rsidRPr="00B514AD">
        <w:rPr>
          <w:rFonts w:ascii="Arial" w:hAnsi="Arial" w:cs="Arial"/>
          <w:b/>
          <w:color w:val="231F20"/>
        </w:rPr>
        <w:tab/>
        <w:t>Riesgo de regresividad en los derechos de las víctimas de no ampliarse su</w:t>
      </w:r>
      <w:r w:rsidRPr="00B514AD">
        <w:rPr>
          <w:rFonts w:ascii="Arial" w:hAnsi="Arial" w:cs="Arial"/>
          <w:b/>
          <w:color w:val="231F20"/>
          <w:spacing w:val="-1"/>
        </w:rPr>
        <w:t xml:space="preserve"> </w:t>
      </w:r>
      <w:r w:rsidRPr="00B514AD">
        <w:rPr>
          <w:rFonts w:ascii="Arial" w:hAnsi="Arial" w:cs="Arial"/>
          <w:b/>
          <w:color w:val="231F20"/>
        </w:rPr>
        <w:t>vigencia.</w:t>
      </w:r>
    </w:p>
    <w:p w:rsidR="00EC5F4C" w:rsidRPr="00B514AD" w:rsidRDefault="00EC5F4C" w:rsidP="00017F19">
      <w:pPr>
        <w:pStyle w:val="Textoindependiente"/>
        <w:spacing w:before="75" w:line="237" w:lineRule="auto"/>
        <w:ind w:left="154" w:right="160" w:firstLine="283"/>
        <w:jc w:val="both"/>
        <w:rPr>
          <w:rFonts w:ascii="Arial" w:hAnsi="Arial" w:cs="Arial"/>
        </w:rPr>
      </w:pPr>
      <w:r w:rsidRPr="00B514AD">
        <w:rPr>
          <w:rFonts w:ascii="Arial" w:hAnsi="Arial" w:cs="Arial"/>
          <w:color w:val="231F20"/>
        </w:rPr>
        <w:lastRenderedPageBreak/>
        <w:t>En su momento la expedición de la Ley 1448 fue vista como un importante avance para la consolidación de los derechos de las víctimas,</w:t>
      </w:r>
      <w:r w:rsidRPr="00B514AD">
        <w:rPr>
          <w:rFonts w:ascii="Arial" w:hAnsi="Arial" w:cs="Arial"/>
          <w:color w:val="231F20"/>
          <w:spacing w:val="-36"/>
        </w:rPr>
        <w:t xml:space="preserve"> </w:t>
      </w:r>
      <w:r w:rsidRPr="00B514AD">
        <w:rPr>
          <w:rFonts w:ascii="Arial" w:hAnsi="Arial" w:cs="Arial"/>
          <w:color w:val="231F20"/>
        </w:rPr>
        <w:t xml:space="preserve">por su puesto esta ley no partió de cero, pues existían diversos antecedentes jurídicos y una experiencia nada despreciable en la atención a víctimas. Sin </w:t>
      </w:r>
      <w:r w:rsidR="000174D2" w:rsidRPr="00B514AD">
        <w:rPr>
          <w:rFonts w:ascii="Arial" w:hAnsi="Arial" w:cs="Arial"/>
          <w:color w:val="231F20"/>
        </w:rPr>
        <w:t>embargo,</w:t>
      </w:r>
      <w:r w:rsidRPr="00B514AD">
        <w:rPr>
          <w:rFonts w:ascii="Arial" w:hAnsi="Arial" w:cs="Arial"/>
          <w:color w:val="231F20"/>
        </w:rPr>
        <w:t xml:space="preserve"> fue </w:t>
      </w:r>
      <w:r w:rsidR="000174D2" w:rsidRPr="00B514AD">
        <w:rPr>
          <w:rFonts w:ascii="Arial" w:hAnsi="Arial" w:cs="Arial"/>
          <w:color w:val="231F20"/>
        </w:rPr>
        <w:t>apenas en 2008 cuando arrancó el</w:t>
      </w:r>
      <w:r w:rsidRPr="00B514AD">
        <w:rPr>
          <w:rFonts w:ascii="Arial" w:hAnsi="Arial" w:cs="Arial"/>
          <w:color w:val="231F20"/>
        </w:rPr>
        <w:t xml:space="preserve"> proceso de adoptar una legislación capaz de integrar en un marco unitario la atención y</w:t>
      </w:r>
      <w:r w:rsidRPr="00B514AD">
        <w:rPr>
          <w:rFonts w:ascii="Arial" w:hAnsi="Arial" w:cs="Arial"/>
          <w:color w:val="231F20"/>
          <w:spacing w:val="28"/>
        </w:rPr>
        <w:t xml:space="preserve"> </w:t>
      </w:r>
      <w:r w:rsidRPr="00B514AD">
        <w:rPr>
          <w:rFonts w:ascii="Arial" w:hAnsi="Arial" w:cs="Arial"/>
          <w:color w:val="231F20"/>
        </w:rPr>
        <w:t>la</w:t>
      </w:r>
      <w:r w:rsidR="00017F19" w:rsidRPr="00B514AD">
        <w:rPr>
          <w:rFonts w:ascii="Arial" w:hAnsi="Arial" w:cs="Arial"/>
          <w:color w:val="231F20"/>
        </w:rPr>
        <w:t xml:space="preserve"> </w:t>
      </w:r>
      <w:r w:rsidRPr="00B514AD">
        <w:rPr>
          <w:rFonts w:ascii="Arial" w:hAnsi="Arial" w:cs="Arial"/>
          <w:color w:val="231F20"/>
        </w:rPr>
        <w:t>reparación integral para todas las víctimas del</w:t>
      </w:r>
      <w:r w:rsidR="00017F19" w:rsidRPr="00B514AD">
        <w:rPr>
          <w:rFonts w:ascii="Arial" w:hAnsi="Arial" w:cs="Arial"/>
          <w:color w:val="231F20"/>
        </w:rPr>
        <w:t xml:space="preserve"> </w:t>
      </w:r>
      <w:r w:rsidRPr="00B514AD">
        <w:rPr>
          <w:rFonts w:ascii="Arial" w:hAnsi="Arial" w:cs="Arial"/>
          <w:color w:val="231F20"/>
        </w:rPr>
        <w:t>conflicto armado interno.</w:t>
      </w:r>
    </w:p>
    <w:p w:rsidR="00EC5F4C" w:rsidRPr="00B514AD" w:rsidRDefault="00EC5F4C" w:rsidP="00017F19">
      <w:pPr>
        <w:pStyle w:val="Textoindependiente"/>
        <w:spacing w:before="81" w:line="228" w:lineRule="auto"/>
        <w:ind w:right="41" w:firstLine="283"/>
        <w:jc w:val="both"/>
        <w:rPr>
          <w:rFonts w:ascii="Arial" w:hAnsi="Arial" w:cs="Arial"/>
        </w:rPr>
      </w:pPr>
      <w:r w:rsidRPr="00B514AD">
        <w:rPr>
          <w:rFonts w:ascii="Arial" w:hAnsi="Arial" w:cs="Arial"/>
          <w:color w:val="231F20"/>
        </w:rPr>
        <w:t>No faltaron los esfuerzos gubernamentales y no gubernamentales para atender a las víctimas de atentados terroristas, a la población</w:t>
      </w:r>
      <w:r w:rsidRPr="00B514AD">
        <w:rPr>
          <w:rFonts w:ascii="Arial" w:hAnsi="Arial" w:cs="Arial"/>
          <w:color w:val="231F20"/>
          <w:spacing w:val="-25"/>
        </w:rPr>
        <w:t xml:space="preserve"> </w:t>
      </w:r>
      <w:r w:rsidRPr="00B514AD">
        <w:rPr>
          <w:rFonts w:ascii="Arial" w:hAnsi="Arial" w:cs="Arial"/>
          <w:color w:val="231F20"/>
        </w:rPr>
        <w:t xml:space="preserve">desplazada por la violencia y a las víctimas de minas antipersonal. El Sistema Nacional de Atención Integral a la Población Desplazada (SNAIPD) y el Programa Presidencial para la Acción Integral contra Minas Antipersonal desarrollaron en su momento procedimientos y adelantaron procesos de atención a las víctimas de múltiples violencias a lo largo y ancho del país, con mayor o menor efectividad. Lo cual </w:t>
      </w:r>
      <w:r w:rsidR="000174D2" w:rsidRPr="00B514AD">
        <w:rPr>
          <w:rFonts w:ascii="Arial" w:hAnsi="Arial" w:cs="Arial"/>
          <w:color w:val="231F20"/>
        </w:rPr>
        <w:t>se sumó a los esfuerzos de</w:t>
      </w:r>
      <w:r w:rsidRPr="00B514AD">
        <w:rPr>
          <w:rFonts w:ascii="Arial" w:hAnsi="Arial" w:cs="Arial"/>
          <w:color w:val="231F20"/>
        </w:rPr>
        <w:t xml:space="preserve"> la Corte Constitucional desde 2004, quien alertó sobre la grave situación de la población desplazada y la calificó como un “estado de cosas inconstitucional”. A partir de este</w:t>
      </w:r>
      <w:r w:rsidRPr="00B514AD">
        <w:rPr>
          <w:rFonts w:ascii="Arial" w:hAnsi="Arial" w:cs="Arial"/>
          <w:color w:val="231F20"/>
          <w:spacing w:val="-15"/>
        </w:rPr>
        <w:t xml:space="preserve"> </w:t>
      </w:r>
      <w:r w:rsidRPr="00B514AD">
        <w:rPr>
          <w:rFonts w:ascii="Arial" w:hAnsi="Arial" w:cs="Arial"/>
          <w:color w:val="231F20"/>
        </w:rPr>
        <w:t xml:space="preserve">momento emprendió una labor de </w:t>
      </w:r>
      <w:r w:rsidR="000174D2" w:rsidRPr="00B514AD">
        <w:rPr>
          <w:rFonts w:ascii="Arial" w:hAnsi="Arial" w:cs="Arial"/>
          <w:color w:val="231F20"/>
        </w:rPr>
        <w:t>seguimiento sostenida</w:t>
      </w:r>
      <w:r w:rsidRPr="00B514AD">
        <w:rPr>
          <w:rFonts w:ascii="Arial" w:hAnsi="Arial" w:cs="Arial"/>
          <w:color w:val="231F20"/>
        </w:rPr>
        <w:t xml:space="preserve"> de las órdenes impartidas mediante la Sentencia </w:t>
      </w:r>
      <w:r w:rsidRPr="00B514AD">
        <w:rPr>
          <w:rFonts w:ascii="Arial" w:hAnsi="Arial" w:cs="Arial"/>
          <w:color w:val="231F20"/>
          <w:spacing w:val="-5"/>
        </w:rPr>
        <w:t xml:space="preserve">T-025 </w:t>
      </w:r>
      <w:r w:rsidRPr="00B514AD">
        <w:rPr>
          <w:rFonts w:ascii="Arial" w:hAnsi="Arial" w:cs="Arial"/>
          <w:color w:val="231F20"/>
        </w:rPr>
        <w:t>de ese año. Mediante autos de</w:t>
      </w:r>
      <w:r w:rsidRPr="00B514AD">
        <w:rPr>
          <w:rFonts w:ascii="Arial" w:hAnsi="Arial" w:cs="Arial"/>
          <w:color w:val="231F20"/>
          <w:spacing w:val="-22"/>
        </w:rPr>
        <w:t xml:space="preserve"> </w:t>
      </w:r>
      <w:r w:rsidRPr="00B514AD">
        <w:rPr>
          <w:rFonts w:ascii="Arial" w:hAnsi="Arial" w:cs="Arial"/>
          <w:color w:val="231F20"/>
        </w:rPr>
        <w:t xml:space="preserve">seguimiento, la </w:t>
      </w:r>
      <w:r w:rsidR="000174D2" w:rsidRPr="00B514AD">
        <w:rPr>
          <w:rFonts w:ascii="Arial" w:hAnsi="Arial" w:cs="Arial"/>
          <w:color w:val="231F20"/>
        </w:rPr>
        <w:t>Corte ha incorporado diversos avances en el</w:t>
      </w:r>
      <w:r w:rsidRPr="00B514AD">
        <w:rPr>
          <w:rFonts w:ascii="Arial" w:hAnsi="Arial" w:cs="Arial"/>
          <w:color w:val="231F20"/>
        </w:rPr>
        <w:t xml:space="preserve"> marco de protección de los derechos de la población desplazada y ha orientado la revisión y ajuste de las políticas para la atención integral de esta población.</w:t>
      </w:r>
    </w:p>
    <w:p w:rsidR="00EC5F4C" w:rsidRPr="00B514AD" w:rsidRDefault="00EC5F4C" w:rsidP="00017F19">
      <w:pPr>
        <w:pStyle w:val="Textoindependiente"/>
        <w:spacing w:before="60" w:line="228" w:lineRule="auto"/>
        <w:ind w:right="38" w:firstLine="283"/>
        <w:jc w:val="both"/>
        <w:rPr>
          <w:rFonts w:ascii="Arial" w:hAnsi="Arial" w:cs="Arial"/>
        </w:rPr>
      </w:pPr>
      <w:r w:rsidRPr="00B514AD">
        <w:rPr>
          <w:rFonts w:ascii="Arial" w:hAnsi="Arial" w:cs="Arial"/>
          <w:color w:val="231F20"/>
        </w:rPr>
        <w:t xml:space="preserve">En este contexto, </w:t>
      </w:r>
      <w:r w:rsidR="000174D2" w:rsidRPr="00B514AD">
        <w:rPr>
          <w:rFonts w:ascii="Arial" w:hAnsi="Arial" w:cs="Arial"/>
          <w:color w:val="231F20"/>
        </w:rPr>
        <w:t>la Ley 1448 buscó integrar</w:t>
      </w:r>
      <w:r w:rsidRPr="00B514AD">
        <w:rPr>
          <w:rFonts w:ascii="Arial" w:hAnsi="Arial" w:cs="Arial"/>
          <w:color w:val="231F20"/>
        </w:rPr>
        <w:t xml:space="preserve"> </w:t>
      </w:r>
      <w:r w:rsidR="000174D2" w:rsidRPr="00B514AD">
        <w:rPr>
          <w:rFonts w:ascii="Arial" w:hAnsi="Arial" w:cs="Arial"/>
          <w:color w:val="231F20"/>
        </w:rPr>
        <w:t>en un gran sistema todos los planes</w:t>
      </w:r>
      <w:r w:rsidR="000174D2" w:rsidRPr="00B514AD">
        <w:rPr>
          <w:rFonts w:ascii="Arial" w:hAnsi="Arial" w:cs="Arial"/>
          <w:color w:val="231F20"/>
          <w:spacing w:val="2"/>
        </w:rPr>
        <w:t xml:space="preserve"> y</w:t>
      </w:r>
      <w:r w:rsidRPr="00B514AD">
        <w:rPr>
          <w:rFonts w:ascii="Arial" w:hAnsi="Arial" w:cs="Arial"/>
          <w:color w:val="231F20"/>
        </w:rPr>
        <w:t xml:space="preserve"> programas existentes, así como unificar y estandarizar criterios y procedimientos </w:t>
      </w:r>
      <w:r w:rsidR="000174D2" w:rsidRPr="00B514AD">
        <w:rPr>
          <w:rFonts w:ascii="Arial" w:hAnsi="Arial" w:cs="Arial"/>
          <w:color w:val="231F20"/>
        </w:rPr>
        <w:t>con el fin</w:t>
      </w:r>
      <w:r w:rsidRPr="00B514AD">
        <w:rPr>
          <w:rFonts w:ascii="Arial" w:hAnsi="Arial" w:cs="Arial"/>
          <w:color w:val="231F20"/>
        </w:rPr>
        <w:t xml:space="preserve"> de lograr mayor cobertura, eficacia e impacto de la atención y la reparación a las víctimas de violaciones de derechos humanos e </w:t>
      </w:r>
      <w:r w:rsidRPr="00B514AD">
        <w:rPr>
          <w:rFonts w:ascii="Arial" w:hAnsi="Arial" w:cs="Arial"/>
          <w:color w:val="231F20"/>
          <w:spacing w:val="2"/>
        </w:rPr>
        <w:t xml:space="preserve">infracciones </w:t>
      </w:r>
      <w:r w:rsidRPr="00B514AD">
        <w:rPr>
          <w:rFonts w:ascii="Arial" w:hAnsi="Arial" w:cs="Arial"/>
          <w:color w:val="231F20"/>
        </w:rPr>
        <w:t xml:space="preserve">al Derecho Internacional </w:t>
      </w:r>
      <w:r w:rsidR="000174D2" w:rsidRPr="00B514AD">
        <w:rPr>
          <w:rFonts w:ascii="Arial" w:hAnsi="Arial" w:cs="Arial"/>
          <w:color w:val="231F20"/>
        </w:rPr>
        <w:t>Humanitario (</w:t>
      </w:r>
      <w:r w:rsidRPr="00B514AD">
        <w:rPr>
          <w:rFonts w:ascii="Arial" w:hAnsi="Arial" w:cs="Arial"/>
          <w:color w:val="231F20"/>
          <w:spacing w:val="2"/>
        </w:rPr>
        <w:t xml:space="preserve">DIH).  </w:t>
      </w:r>
      <w:r w:rsidRPr="00B514AD">
        <w:rPr>
          <w:rFonts w:ascii="Arial" w:hAnsi="Arial" w:cs="Arial"/>
          <w:color w:val="231F20"/>
        </w:rPr>
        <w:t xml:space="preserve">En la Ley 1448 </w:t>
      </w:r>
      <w:r w:rsidR="000174D2" w:rsidRPr="00B514AD">
        <w:rPr>
          <w:rFonts w:ascii="Arial" w:hAnsi="Arial" w:cs="Arial"/>
          <w:color w:val="231F20"/>
        </w:rPr>
        <w:t>se buscó producir un</w:t>
      </w:r>
      <w:r w:rsidRPr="00B514AD">
        <w:rPr>
          <w:rFonts w:ascii="Arial" w:hAnsi="Arial" w:cs="Arial"/>
          <w:color w:val="231F20"/>
          <w:spacing w:val="35"/>
        </w:rPr>
        <w:t xml:space="preserve"> </w:t>
      </w:r>
      <w:r w:rsidRPr="00B514AD">
        <w:rPr>
          <w:rFonts w:ascii="Arial" w:hAnsi="Arial" w:cs="Arial"/>
          <w:color w:val="231F20"/>
          <w:spacing w:val="2"/>
        </w:rPr>
        <w:t xml:space="preserve">cambio </w:t>
      </w:r>
      <w:r w:rsidRPr="00B514AD">
        <w:rPr>
          <w:rFonts w:ascii="Arial" w:hAnsi="Arial" w:cs="Arial"/>
          <w:color w:val="231F20"/>
        </w:rPr>
        <w:t xml:space="preserve">en la relación entre la víctima y el </w:t>
      </w:r>
      <w:r w:rsidR="000174D2" w:rsidRPr="00B514AD">
        <w:rPr>
          <w:rFonts w:ascii="Arial" w:hAnsi="Arial" w:cs="Arial"/>
          <w:color w:val="231F20"/>
        </w:rPr>
        <w:t>Estado a partir</w:t>
      </w:r>
      <w:r w:rsidRPr="00B514AD">
        <w:rPr>
          <w:rFonts w:ascii="Arial" w:hAnsi="Arial" w:cs="Arial"/>
          <w:color w:val="231F20"/>
        </w:rPr>
        <w:t xml:space="preserve"> del reconocimiento de las víctimas y de   las violaciones a los derechos humanos y el Derecho Internacional Humanitario; de ahí </w:t>
      </w:r>
      <w:r w:rsidRPr="00B514AD">
        <w:rPr>
          <w:rFonts w:ascii="Arial" w:hAnsi="Arial" w:cs="Arial"/>
          <w:color w:val="231F20"/>
          <w:spacing w:val="2"/>
        </w:rPr>
        <w:t xml:space="preserve">que </w:t>
      </w:r>
      <w:r w:rsidRPr="00B514AD">
        <w:rPr>
          <w:rFonts w:ascii="Arial" w:hAnsi="Arial" w:cs="Arial"/>
          <w:color w:val="231F20"/>
        </w:rPr>
        <w:t>se consagraran normativamente ideas como la transparencia en el registro, el trato digno, el principio de inclusión, reconocimiento y</w:t>
      </w:r>
      <w:r w:rsidRPr="00B514AD">
        <w:rPr>
          <w:rFonts w:ascii="Arial" w:hAnsi="Arial" w:cs="Arial"/>
          <w:color w:val="231F20"/>
          <w:spacing w:val="-41"/>
        </w:rPr>
        <w:t xml:space="preserve"> </w:t>
      </w:r>
      <w:r w:rsidRPr="00B514AD">
        <w:rPr>
          <w:rFonts w:ascii="Arial" w:hAnsi="Arial" w:cs="Arial"/>
          <w:color w:val="231F20"/>
        </w:rPr>
        <w:t>dignidad de las víctimas, y la integralidad que obliga a ir más allá de la compensación</w:t>
      </w:r>
      <w:r w:rsidRPr="00B514AD">
        <w:rPr>
          <w:rFonts w:ascii="Arial" w:hAnsi="Arial" w:cs="Arial"/>
          <w:color w:val="231F20"/>
          <w:spacing w:val="36"/>
        </w:rPr>
        <w:t xml:space="preserve"> </w:t>
      </w:r>
      <w:r w:rsidRPr="00B514AD">
        <w:rPr>
          <w:rFonts w:ascii="Arial" w:hAnsi="Arial" w:cs="Arial"/>
          <w:color w:val="231F20"/>
        </w:rPr>
        <w:t>económica.</w:t>
      </w:r>
    </w:p>
    <w:p w:rsidR="00EC5F4C" w:rsidRPr="00B514AD" w:rsidRDefault="00EC5F4C" w:rsidP="00017F19">
      <w:pPr>
        <w:pStyle w:val="Textoindependiente"/>
        <w:spacing w:before="66" w:line="228" w:lineRule="auto"/>
        <w:ind w:right="41" w:firstLine="283"/>
        <w:jc w:val="both"/>
        <w:rPr>
          <w:rFonts w:ascii="Arial" w:hAnsi="Arial" w:cs="Arial"/>
        </w:rPr>
      </w:pPr>
      <w:r w:rsidRPr="00B514AD">
        <w:rPr>
          <w:rFonts w:ascii="Arial" w:hAnsi="Arial" w:cs="Arial"/>
          <w:color w:val="231F20"/>
        </w:rPr>
        <w:t>En</w:t>
      </w:r>
      <w:r w:rsidRPr="00B514AD">
        <w:rPr>
          <w:rFonts w:ascii="Arial" w:hAnsi="Arial" w:cs="Arial"/>
          <w:color w:val="231F20"/>
          <w:spacing w:val="-16"/>
        </w:rPr>
        <w:t xml:space="preserve"> </w:t>
      </w:r>
      <w:r w:rsidRPr="00B514AD">
        <w:rPr>
          <w:rFonts w:ascii="Arial" w:hAnsi="Arial" w:cs="Arial"/>
          <w:color w:val="231F20"/>
        </w:rPr>
        <w:t>esa</w:t>
      </w:r>
      <w:r w:rsidRPr="00B514AD">
        <w:rPr>
          <w:rFonts w:ascii="Arial" w:hAnsi="Arial" w:cs="Arial"/>
          <w:color w:val="231F20"/>
          <w:spacing w:val="-16"/>
        </w:rPr>
        <w:t xml:space="preserve"> </w:t>
      </w:r>
      <w:r w:rsidRPr="00B514AD">
        <w:rPr>
          <w:rFonts w:ascii="Arial" w:hAnsi="Arial" w:cs="Arial"/>
          <w:color w:val="231F20"/>
        </w:rPr>
        <w:t>medida</w:t>
      </w:r>
      <w:r w:rsidRPr="00B514AD">
        <w:rPr>
          <w:rFonts w:ascii="Arial" w:hAnsi="Arial" w:cs="Arial"/>
          <w:color w:val="231F20"/>
          <w:spacing w:val="-17"/>
        </w:rPr>
        <w:t xml:space="preserve"> </w:t>
      </w:r>
      <w:r w:rsidRPr="00B514AD">
        <w:rPr>
          <w:rFonts w:ascii="Arial" w:hAnsi="Arial" w:cs="Arial"/>
          <w:color w:val="231F20"/>
        </w:rPr>
        <w:t>la</w:t>
      </w:r>
      <w:r w:rsidRPr="00B514AD">
        <w:rPr>
          <w:rFonts w:ascii="Arial" w:hAnsi="Arial" w:cs="Arial"/>
          <w:color w:val="231F20"/>
          <w:spacing w:val="-16"/>
        </w:rPr>
        <w:t xml:space="preserve"> </w:t>
      </w:r>
      <w:r w:rsidRPr="00B514AD">
        <w:rPr>
          <w:rFonts w:ascii="Arial" w:hAnsi="Arial" w:cs="Arial"/>
          <w:color w:val="231F20"/>
        </w:rPr>
        <w:t>Ley</w:t>
      </w:r>
      <w:r w:rsidRPr="00B514AD">
        <w:rPr>
          <w:rFonts w:ascii="Arial" w:hAnsi="Arial" w:cs="Arial"/>
          <w:color w:val="231F20"/>
          <w:spacing w:val="-16"/>
        </w:rPr>
        <w:t xml:space="preserve"> </w:t>
      </w:r>
      <w:r w:rsidRPr="00B514AD">
        <w:rPr>
          <w:rFonts w:ascii="Arial" w:hAnsi="Arial" w:cs="Arial"/>
          <w:color w:val="231F20"/>
        </w:rPr>
        <w:t>de</w:t>
      </w:r>
      <w:r w:rsidRPr="00B514AD">
        <w:rPr>
          <w:rFonts w:ascii="Arial" w:hAnsi="Arial" w:cs="Arial"/>
          <w:color w:val="231F20"/>
          <w:spacing w:val="-20"/>
        </w:rPr>
        <w:t xml:space="preserve"> </w:t>
      </w:r>
      <w:r w:rsidRPr="00B514AD">
        <w:rPr>
          <w:rFonts w:ascii="Arial" w:hAnsi="Arial" w:cs="Arial"/>
          <w:color w:val="231F20"/>
        </w:rPr>
        <w:t>Víctimas</w:t>
      </w:r>
      <w:r w:rsidRPr="00B514AD">
        <w:rPr>
          <w:rFonts w:ascii="Arial" w:hAnsi="Arial" w:cs="Arial"/>
          <w:color w:val="231F20"/>
          <w:spacing w:val="-16"/>
        </w:rPr>
        <w:t xml:space="preserve"> </w:t>
      </w:r>
      <w:r w:rsidRPr="00B514AD">
        <w:rPr>
          <w:rFonts w:ascii="Arial" w:hAnsi="Arial" w:cs="Arial"/>
          <w:color w:val="231F20"/>
        </w:rPr>
        <w:t>y</w:t>
      </w:r>
      <w:r w:rsidRPr="00B514AD">
        <w:rPr>
          <w:rFonts w:ascii="Arial" w:hAnsi="Arial" w:cs="Arial"/>
          <w:color w:val="231F20"/>
          <w:spacing w:val="-16"/>
        </w:rPr>
        <w:t xml:space="preserve"> </w:t>
      </w:r>
      <w:r w:rsidRPr="00B514AD">
        <w:rPr>
          <w:rFonts w:ascii="Arial" w:hAnsi="Arial" w:cs="Arial"/>
          <w:color w:val="231F20"/>
        </w:rPr>
        <w:t>Restitución de Tierras, tiene el objetivo de proporcionar una reparación integral a las víctimas del conflicto. Esta</w:t>
      </w:r>
      <w:r w:rsidRPr="00B514AD">
        <w:rPr>
          <w:rFonts w:ascii="Arial" w:hAnsi="Arial" w:cs="Arial"/>
          <w:color w:val="231F20"/>
          <w:spacing w:val="-27"/>
        </w:rPr>
        <w:t xml:space="preserve"> </w:t>
      </w:r>
      <w:r w:rsidRPr="00B514AD">
        <w:rPr>
          <w:rFonts w:ascii="Arial" w:hAnsi="Arial" w:cs="Arial"/>
          <w:color w:val="231F20"/>
        </w:rPr>
        <w:t>reparación</w:t>
      </w:r>
      <w:r w:rsidRPr="00B514AD">
        <w:rPr>
          <w:rFonts w:ascii="Arial" w:hAnsi="Arial" w:cs="Arial"/>
          <w:color w:val="231F20"/>
          <w:spacing w:val="-26"/>
        </w:rPr>
        <w:t xml:space="preserve"> </w:t>
      </w:r>
      <w:r w:rsidRPr="00B514AD">
        <w:rPr>
          <w:rFonts w:ascii="Arial" w:hAnsi="Arial" w:cs="Arial"/>
          <w:color w:val="231F20"/>
        </w:rPr>
        <w:t>se</w:t>
      </w:r>
      <w:r w:rsidRPr="00B514AD">
        <w:rPr>
          <w:rFonts w:ascii="Arial" w:hAnsi="Arial" w:cs="Arial"/>
          <w:color w:val="231F20"/>
          <w:spacing w:val="-26"/>
        </w:rPr>
        <w:t xml:space="preserve"> </w:t>
      </w:r>
      <w:r w:rsidRPr="00B514AD">
        <w:rPr>
          <w:rFonts w:ascii="Arial" w:hAnsi="Arial" w:cs="Arial"/>
          <w:color w:val="231F20"/>
        </w:rPr>
        <w:t>diseñó</w:t>
      </w:r>
      <w:r w:rsidRPr="00B514AD">
        <w:rPr>
          <w:rFonts w:ascii="Arial" w:hAnsi="Arial" w:cs="Arial"/>
          <w:color w:val="231F20"/>
          <w:spacing w:val="-26"/>
        </w:rPr>
        <w:t xml:space="preserve"> </w:t>
      </w:r>
      <w:r w:rsidRPr="00B514AD">
        <w:rPr>
          <w:rFonts w:ascii="Arial" w:hAnsi="Arial" w:cs="Arial"/>
          <w:color w:val="231F20"/>
        </w:rPr>
        <w:t>con</w:t>
      </w:r>
      <w:r w:rsidRPr="00B514AD">
        <w:rPr>
          <w:rFonts w:ascii="Arial" w:hAnsi="Arial" w:cs="Arial"/>
          <w:color w:val="231F20"/>
          <w:spacing w:val="-26"/>
        </w:rPr>
        <w:t xml:space="preserve"> </w:t>
      </w:r>
      <w:r w:rsidRPr="00B514AD">
        <w:rPr>
          <w:rFonts w:ascii="Arial" w:hAnsi="Arial" w:cs="Arial"/>
          <w:color w:val="231F20"/>
        </w:rPr>
        <w:t>el</w:t>
      </w:r>
      <w:r w:rsidRPr="00B514AD">
        <w:rPr>
          <w:rFonts w:ascii="Arial" w:hAnsi="Arial" w:cs="Arial"/>
          <w:color w:val="231F20"/>
          <w:spacing w:val="-26"/>
        </w:rPr>
        <w:t xml:space="preserve"> </w:t>
      </w:r>
      <w:r w:rsidRPr="00B514AD">
        <w:rPr>
          <w:rFonts w:ascii="Arial" w:hAnsi="Arial" w:cs="Arial"/>
          <w:color w:val="231F20"/>
        </w:rPr>
        <w:t>objetivo</w:t>
      </w:r>
      <w:r w:rsidRPr="00B514AD">
        <w:rPr>
          <w:rFonts w:ascii="Arial" w:hAnsi="Arial" w:cs="Arial"/>
          <w:color w:val="231F20"/>
          <w:spacing w:val="-26"/>
        </w:rPr>
        <w:t xml:space="preserve"> </w:t>
      </w:r>
      <w:r w:rsidRPr="00B514AD">
        <w:rPr>
          <w:rFonts w:ascii="Arial" w:hAnsi="Arial" w:cs="Arial"/>
          <w:color w:val="231F20"/>
        </w:rPr>
        <w:t>de</w:t>
      </w:r>
      <w:r w:rsidRPr="00B514AD">
        <w:rPr>
          <w:rFonts w:ascii="Arial" w:hAnsi="Arial" w:cs="Arial"/>
          <w:color w:val="231F20"/>
          <w:spacing w:val="-26"/>
        </w:rPr>
        <w:t xml:space="preserve"> </w:t>
      </w:r>
      <w:r w:rsidRPr="00B514AD">
        <w:rPr>
          <w:rFonts w:ascii="Arial" w:hAnsi="Arial" w:cs="Arial"/>
          <w:color w:val="231F20"/>
        </w:rPr>
        <w:t>superar el mero enfoque de la indemnización económica por lo que incluyó otras medidas materiales</w:t>
      </w:r>
      <w:r w:rsidRPr="00B514AD">
        <w:rPr>
          <w:rFonts w:ascii="Arial" w:hAnsi="Arial" w:cs="Arial"/>
          <w:color w:val="231F20"/>
          <w:spacing w:val="-14"/>
        </w:rPr>
        <w:t xml:space="preserve"> </w:t>
      </w:r>
      <w:r w:rsidRPr="00B514AD">
        <w:rPr>
          <w:rFonts w:ascii="Arial" w:hAnsi="Arial" w:cs="Arial"/>
          <w:color w:val="231F20"/>
        </w:rPr>
        <w:t>como proporcionar asistencia psicosocial, viviendas dignas, o la restitución de tierras; pero también medidas simbólicas, como el establecimiento del Día</w:t>
      </w:r>
      <w:r w:rsidRPr="00B514AD">
        <w:rPr>
          <w:rFonts w:ascii="Arial" w:hAnsi="Arial" w:cs="Arial"/>
          <w:color w:val="231F20"/>
          <w:spacing w:val="-6"/>
        </w:rPr>
        <w:t xml:space="preserve"> </w:t>
      </w:r>
      <w:r w:rsidRPr="00B514AD">
        <w:rPr>
          <w:rFonts w:ascii="Arial" w:hAnsi="Arial" w:cs="Arial"/>
          <w:color w:val="231F20"/>
        </w:rPr>
        <w:t>Nacional</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la</w:t>
      </w:r>
      <w:r w:rsidRPr="00B514AD">
        <w:rPr>
          <w:rFonts w:ascii="Arial" w:hAnsi="Arial" w:cs="Arial"/>
          <w:color w:val="231F20"/>
          <w:spacing w:val="-6"/>
        </w:rPr>
        <w:t xml:space="preserve"> </w:t>
      </w:r>
      <w:r w:rsidRPr="00B514AD">
        <w:rPr>
          <w:rFonts w:ascii="Arial" w:hAnsi="Arial" w:cs="Arial"/>
          <w:color w:val="231F20"/>
        </w:rPr>
        <w:t>Memoria</w:t>
      </w:r>
      <w:r w:rsidRPr="00B514AD">
        <w:rPr>
          <w:rFonts w:ascii="Arial" w:hAnsi="Arial" w:cs="Arial"/>
          <w:color w:val="231F20"/>
          <w:spacing w:val="-6"/>
        </w:rPr>
        <w:t xml:space="preserve"> </w:t>
      </w:r>
      <w:r w:rsidRPr="00B514AD">
        <w:rPr>
          <w:rFonts w:ascii="Arial" w:hAnsi="Arial" w:cs="Arial"/>
          <w:color w:val="231F20"/>
        </w:rPr>
        <w:t>y</w:t>
      </w:r>
      <w:r w:rsidRPr="00B514AD">
        <w:rPr>
          <w:rFonts w:ascii="Arial" w:hAnsi="Arial" w:cs="Arial"/>
          <w:color w:val="231F20"/>
          <w:spacing w:val="-6"/>
        </w:rPr>
        <w:t xml:space="preserve"> </w:t>
      </w:r>
      <w:r w:rsidRPr="00B514AD">
        <w:rPr>
          <w:rFonts w:ascii="Arial" w:hAnsi="Arial" w:cs="Arial"/>
          <w:color w:val="231F20"/>
        </w:rPr>
        <w:t>Solidaridad</w:t>
      </w:r>
      <w:r w:rsidRPr="00B514AD">
        <w:rPr>
          <w:rFonts w:ascii="Arial" w:hAnsi="Arial" w:cs="Arial"/>
          <w:color w:val="231F20"/>
          <w:spacing w:val="-6"/>
        </w:rPr>
        <w:t xml:space="preserve"> </w:t>
      </w:r>
      <w:r w:rsidRPr="00B514AD">
        <w:rPr>
          <w:rFonts w:ascii="Arial" w:hAnsi="Arial" w:cs="Arial"/>
          <w:color w:val="231F20"/>
        </w:rPr>
        <w:t>con</w:t>
      </w:r>
      <w:r w:rsidRPr="00B514AD">
        <w:rPr>
          <w:rFonts w:ascii="Arial" w:hAnsi="Arial" w:cs="Arial"/>
          <w:color w:val="231F20"/>
          <w:spacing w:val="-6"/>
        </w:rPr>
        <w:t xml:space="preserve"> </w:t>
      </w:r>
      <w:r w:rsidRPr="00B514AD">
        <w:rPr>
          <w:rFonts w:ascii="Arial" w:hAnsi="Arial" w:cs="Arial"/>
          <w:color w:val="231F20"/>
        </w:rPr>
        <w:t>las Víctimas, que desde entonces se celebra el 9 de abril.</w:t>
      </w:r>
    </w:p>
    <w:p w:rsidR="00EC5F4C" w:rsidRPr="00B514AD" w:rsidRDefault="00EC5F4C" w:rsidP="00017F19">
      <w:pPr>
        <w:pStyle w:val="Textoindependiente"/>
        <w:spacing w:before="73" w:line="228" w:lineRule="auto"/>
        <w:ind w:right="42" w:firstLine="283"/>
        <w:jc w:val="both"/>
        <w:rPr>
          <w:rFonts w:ascii="Arial" w:hAnsi="Arial" w:cs="Arial"/>
        </w:rPr>
      </w:pPr>
      <w:r w:rsidRPr="00B514AD">
        <w:rPr>
          <w:rFonts w:ascii="Arial" w:hAnsi="Arial" w:cs="Arial"/>
          <w:color w:val="231F20"/>
        </w:rPr>
        <w:t xml:space="preserve">De esta forma, la Ley 1448 de </w:t>
      </w:r>
      <w:r w:rsidRPr="00B514AD">
        <w:rPr>
          <w:rFonts w:ascii="Arial" w:hAnsi="Arial" w:cs="Arial"/>
          <w:color w:val="231F20"/>
          <w:spacing w:val="-3"/>
        </w:rPr>
        <w:t xml:space="preserve">2011 </w:t>
      </w:r>
      <w:r w:rsidRPr="00B514AD">
        <w:rPr>
          <w:rFonts w:ascii="Arial" w:hAnsi="Arial" w:cs="Arial"/>
          <w:color w:val="231F20"/>
        </w:rPr>
        <w:t>incluyó diversos contenidos como las medidas concretas de atención, asistencia; reparación (individual y colectiva) y no repetición; el concepto de</w:t>
      </w:r>
      <w:r w:rsidRPr="00B514AD">
        <w:rPr>
          <w:rFonts w:ascii="Arial" w:hAnsi="Arial" w:cs="Arial"/>
          <w:color w:val="231F20"/>
          <w:spacing w:val="-41"/>
        </w:rPr>
        <w:t xml:space="preserve"> </w:t>
      </w:r>
      <w:r w:rsidRPr="00B514AD">
        <w:rPr>
          <w:rFonts w:ascii="Arial" w:hAnsi="Arial" w:cs="Arial"/>
          <w:color w:val="231F20"/>
        </w:rPr>
        <w:t>víctima; los diversos principios relativos a los derechos  de las víctimas (Principio de</w:t>
      </w:r>
      <w:r w:rsidRPr="00B514AD">
        <w:rPr>
          <w:rFonts w:ascii="Arial" w:hAnsi="Arial" w:cs="Arial"/>
          <w:color w:val="231F20"/>
          <w:spacing w:val="48"/>
        </w:rPr>
        <w:t xml:space="preserve"> </w:t>
      </w:r>
      <w:r w:rsidRPr="00B514AD">
        <w:rPr>
          <w:rFonts w:ascii="Arial" w:hAnsi="Arial" w:cs="Arial"/>
          <w:color w:val="231F20"/>
        </w:rPr>
        <w:t>progresividad;</w:t>
      </w:r>
      <w:r w:rsidR="00017F19" w:rsidRPr="00B514AD">
        <w:rPr>
          <w:rFonts w:ascii="Arial" w:hAnsi="Arial" w:cs="Arial"/>
          <w:color w:val="231F20"/>
        </w:rPr>
        <w:t xml:space="preserve"> </w:t>
      </w:r>
      <w:r w:rsidRPr="00B514AD">
        <w:rPr>
          <w:rFonts w:ascii="Arial" w:hAnsi="Arial" w:cs="Arial"/>
          <w:color w:val="231F20"/>
        </w:rPr>
        <w:t xml:space="preserve">buena fe: la  carga  de  la  prueba  en  procesos  de reparación administrativa  y  de  restitución  de tierras; complementariedad, el enfoque </w:t>
      </w:r>
      <w:r w:rsidRPr="00B514AD">
        <w:rPr>
          <w:rFonts w:ascii="Arial" w:hAnsi="Arial" w:cs="Arial"/>
          <w:color w:val="231F20"/>
          <w:position w:val="1"/>
        </w:rPr>
        <w:t>diferencial, etc.</w:t>
      </w:r>
      <w:r w:rsidR="00EA5CC2" w:rsidRPr="00B514AD">
        <w:rPr>
          <w:rStyle w:val="Refdenotaalpie"/>
          <w:rFonts w:ascii="Arial" w:hAnsi="Arial" w:cs="Arial"/>
          <w:color w:val="231F20"/>
          <w:position w:val="1"/>
        </w:rPr>
        <w:footnoteReference w:id="1"/>
      </w:r>
      <w:r w:rsidRPr="00B514AD">
        <w:rPr>
          <w:rFonts w:ascii="Arial" w:hAnsi="Arial" w:cs="Arial"/>
          <w:color w:val="231F20"/>
        </w:rPr>
        <w:t xml:space="preserve">), un esquema institucionalizado de </w:t>
      </w:r>
      <w:r w:rsidRPr="00B514AD">
        <w:rPr>
          <w:rFonts w:ascii="Arial" w:hAnsi="Arial" w:cs="Arial"/>
          <w:color w:val="231F20"/>
        </w:rPr>
        <w:lastRenderedPageBreak/>
        <w:t>participación para las víctimas  a  través  de las mesas de participación efectiva de víctimas; la regulación de los derechos de las víctimas dentro de los procesos judiciales; los esquemas de ayuda humanitaria, atención y asistencia: se incluyen las  normas  referentes  a  los  retornos  y  reubicaciones;  los  procesos  de   restitución de tierras; las estrategias y medidas para la rehabilitación y satisfacción; la institucionalidad para la atención y reparación de las víctimas; el régimen disciplinario de los funcionarios frente a las víctimas, entre</w:t>
      </w:r>
      <w:r w:rsidRPr="00B514AD">
        <w:rPr>
          <w:rFonts w:ascii="Arial" w:hAnsi="Arial" w:cs="Arial"/>
          <w:color w:val="231F20"/>
          <w:spacing w:val="14"/>
        </w:rPr>
        <w:t xml:space="preserve"> </w:t>
      </w:r>
      <w:r w:rsidRPr="00B514AD">
        <w:rPr>
          <w:rFonts w:ascii="Arial" w:hAnsi="Arial" w:cs="Arial"/>
          <w:color w:val="231F20"/>
          <w:spacing w:val="2"/>
        </w:rPr>
        <w:t>otros.</w:t>
      </w:r>
    </w:p>
    <w:p w:rsidR="00EC5F4C" w:rsidRDefault="00EC5F4C" w:rsidP="00017F19">
      <w:pPr>
        <w:pStyle w:val="Textoindependiente"/>
        <w:spacing w:before="86" w:line="228" w:lineRule="auto"/>
        <w:ind w:right="159" w:firstLine="283"/>
        <w:jc w:val="both"/>
        <w:rPr>
          <w:rFonts w:ascii="Arial" w:hAnsi="Arial" w:cs="Arial"/>
          <w:color w:val="231F20"/>
        </w:rPr>
      </w:pPr>
      <w:r w:rsidRPr="00B514AD">
        <w:rPr>
          <w:rFonts w:ascii="Arial" w:hAnsi="Arial" w:cs="Arial"/>
          <w:color w:val="231F20"/>
        </w:rPr>
        <w:t xml:space="preserve">En esa perspectiva, la </w:t>
      </w:r>
      <w:r w:rsidR="000174D2" w:rsidRPr="00B514AD">
        <w:rPr>
          <w:rFonts w:ascii="Arial" w:hAnsi="Arial" w:cs="Arial"/>
          <w:color w:val="231F20"/>
        </w:rPr>
        <w:t>Ley 1448 contempla</w:t>
      </w:r>
      <w:r w:rsidRPr="00B514AD">
        <w:rPr>
          <w:rFonts w:ascii="Arial" w:hAnsi="Arial" w:cs="Arial"/>
          <w:color w:val="231F20"/>
        </w:rPr>
        <w:t xml:space="preserve"> no solo la consagración de los derechos de las víctimas, sino también mecanismos</w:t>
      </w:r>
      <w:r w:rsidRPr="00B514AD">
        <w:rPr>
          <w:rFonts w:ascii="Arial" w:hAnsi="Arial" w:cs="Arial"/>
          <w:color w:val="231F20"/>
          <w:spacing w:val="44"/>
        </w:rPr>
        <w:t xml:space="preserve"> </w:t>
      </w:r>
      <w:r w:rsidRPr="00B514AD">
        <w:rPr>
          <w:rFonts w:ascii="Arial" w:hAnsi="Arial" w:cs="Arial"/>
          <w:color w:val="231F20"/>
        </w:rPr>
        <w:t>específicos para materializarlos, un esquema institucional específico para lograrlo, un esquema de participación específica para las víctimas y una transformación en el enfoque de la relación entre el Estado y las víctimas, partiendo del necesario ejercicio de redignificación de las mismas. De ahí que pueda decirse que la Ley 1448 es</w:t>
      </w:r>
      <w:r w:rsidRPr="00B514AD">
        <w:rPr>
          <w:rFonts w:ascii="Arial" w:hAnsi="Arial" w:cs="Arial"/>
          <w:color w:val="231F20"/>
          <w:spacing w:val="41"/>
        </w:rPr>
        <w:t xml:space="preserve"> </w:t>
      </w:r>
      <w:r w:rsidRPr="00B514AD">
        <w:rPr>
          <w:rFonts w:ascii="Arial" w:hAnsi="Arial" w:cs="Arial"/>
          <w:color w:val="231F20"/>
        </w:rPr>
        <w:t>un instrumento central en la vigencia de los</w:t>
      </w:r>
      <w:r w:rsidRPr="00B514AD">
        <w:rPr>
          <w:rFonts w:ascii="Arial" w:hAnsi="Arial" w:cs="Arial"/>
          <w:color w:val="231F20"/>
          <w:spacing w:val="-29"/>
        </w:rPr>
        <w:t xml:space="preserve"> </w:t>
      </w:r>
      <w:r w:rsidRPr="00B514AD">
        <w:rPr>
          <w:rFonts w:ascii="Arial" w:hAnsi="Arial" w:cs="Arial"/>
          <w:color w:val="231F20"/>
        </w:rPr>
        <w:t>derechos de las víctimas. Sin perjuicio, de lo anterior debe indicarse que estas medidas fueron pensadas también como una herramienta de justicia transicional (de ahí que se haya establecido un plazo específico para su vigencia). Dicho lo anterior, dos elementos deben establecerse a) si</w:t>
      </w:r>
      <w:r w:rsidRPr="00B514AD">
        <w:rPr>
          <w:rFonts w:ascii="Arial" w:hAnsi="Arial" w:cs="Arial"/>
          <w:color w:val="231F20"/>
          <w:spacing w:val="-17"/>
        </w:rPr>
        <w:t xml:space="preserve"> </w:t>
      </w:r>
      <w:r w:rsidRPr="00B514AD">
        <w:rPr>
          <w:rFonts w:ascii="Arial" w:hAnsi="Arial" w:cs="Arial"/>
          <w:color w:val="231F20"/>
        </w:rPr>
        <w:t xml:space="preserve">la Ley 1448 de </w:t>
      </w:r>
      <w:r w:rsidRPr="00B514AD">
        <w:rPr>
          <w:rFonts w:ascii="Arial" w:hAnsi="Arial" w:cs="Arial"/>
          <w:color w:val="231F20"/>
          <w:spacing w:val="-3"/>
        </w:rPr>
        <w:t xml:space="preserve">2011 </w:t>
      </w:r>
      <w:r w:rsidRPr="00B514AD">
        <w:rPr>
          <w:rFonts w:ascii="Arial" w:hAnsi="Arial" w:cs="Arial"/>
          <w:color w:val="231F20"/>
        </w:rPr>
        <w:t xml:space="preserve">ya cumplió su cometido y </w:t>
      </w:r>
      <w:r w:rsidR="000174D2" w:rsidRPr="00B514AD">
        <w:rPr>
          <w:rFonts w:ascii="Arial" w:hAnsi="Arial" w:cs="Arial"/>
          <w:color w:val="231F20"/>
        </w:rPr>
        <w:t>b) si</w:t>
      </w:r>
      <w:r w:rsidRPr="00B514AD">
        <w:rPr>
          <w:rFonts w:ascii="Arial" w:hAnsi="Arial" w:cs="Arial"/>
          <w:color w:val="231F20"/>
        </w:rPr>
        <w:t xml:space="preserve"> su desaparición implicaría una regresión en los derechos de las</w:t>
      </w:r>
      <w:r w:rsidRPr="00B514AD">
        <w:rPr>
          <w:rFonts w:ascii="Arial" w:hAnsi="Arial" w:cs="Arial"/>
          <w:color w:val="231F20"/>
          <w:spacing w:val="-1"/>
        </w:rPr>
        <w:t xml:space="preserve"> </w:t>
      </w:r>
      <w:r w:rsidRPr="00B514AD">
        <w:rPr>
          <w:rFonts w:ascii="Arial" w:hAnsi="Arial" w:cs="Arial"/>
          <w:color w:val="231F20"/>
        </w:rPr>
        <w:t>víctimas.</w:t>
      </w:r>
    </w:p>
    <w:p w:rsidR="00945315" w:rsidRPr="00B514AD" w:rsidRDefault="00945315" w:rsidP="00017F19">
      <w:pPr>
        <w:pStyle w:val="Textoindependiente"/>
        <w:spacing w:before="86" w:line="228" w:lineRule="auto"/>
        <w:ind w:right="159" w:firstLine="283"/>
        <w:jc w:val="both"/>
        <w:rPr>
          <w:rFonts w:ascii="Arial" w:hAnsi="Arial" w:cs="Arial"/>
        </w:rPr>
      </w:pPr>
    </w:p>
    <w:p w:rsidR="00EC5F4C" w:rsidRDefault="00017F19" w:rsidP="00017F19">
      <w:pPr>
        <w:spacing w:before="61" w:line="235" w:lineRule="auto"/>
        <w:ind w:left="833" w:right="159" w:hanging="400"/>
        <w:jc w:val="both"/>
        <w:rPr>
          <w:rFonts w:ascii="Arial" w:hAnsi="Arial" w:cs="Arial"/>
          <w:b/>
          <w:color w:val="231F20"/>
        </w:rPr>
      </w:pPr>
      <w:r w:rsidRPr="00B514AD">
        <w:rPr>
          <w:rFonts w:ascii="Arial" w:hAnsi="Arial" w:cs="Arial"/>
          <w:b/>
          <w:color w:val="231F20"/>
        </w:rPr>
        <w:t>2</w:t>
      </w:r>
      <w:r w:rsidR="00EC5F4C" w:rsidRPr="00B514AD">
        <w:rPr>
          <w:rFonts w:ascii="Arial" w:hAnsi="Arial" w:cs="Arial"/>
          <w:b/>
          <w:color w:val="231F20"/>
        </w:rPr>
        <w:t>.1. ¿Se cumplieron los objetivos de la Ley 1448 de 2011?</w:t>
      </w:r>
    </w:p>
    <w:p w:rsidR="00EC5F4C" w:rsidRPr="00B514AD" w:rsidRDefault="00EC5F4C" w:rsidP="00017F19">
      <w:pPr>
        <w:pStyle w:val="Textoindependiente"/>
        <w:spacing w:before="85" w:line="228" w:lineRule="auto"/>
        <w:ind w:right="160" w:firstLine="283"/>
        <w:jc w:val="both"/>
        <w:rPr>
          <w:rFonts w:ascii="Arial" w:hAnsi="Arial" w:cs="Arial"/>
        </w:rPr>
      </w:pPr>
      <w:r w:rsidRPr="00B514AD">
        <w:rPr>
          <w:rFonts w:ascii="Arial" w:hAnsi="Arial" w:cs="Arial"/>
          <w:color w:val="231F20"/>
        </w:rPr>
        <w:t xml:space="preserve">Frente a la primera pregunta podemos indicar que las inequidades en el acceso a los derechos sociales por parte de las víctimas han sido diagnosticadas desde </w:t>
      </w:r>
      <w:r w:rsidR="000174D2" w:rsidRPr="00B514AD">
        <w:rPr>
          <w:rFonts w:ascii="Arial" w:hAnsi="Arial" w:cs="Arial"/>
          <w:color w:val="231F20"/>
        </w:rPr>
        <w:t>diversos sectores</w:t>
      </w:r>
      <w:r w:rsidRPr="00B514AD">
        <w:rPr>
          <w:rFonts w:ascii="Arial" w:hAnsi="Arial" w:cs="Arial"/>
          <w:color w:val="231F20"/>
        </w:rPr>
        <w:t xml:space="preserve">.  </w:t>
      </w:r>
      <w:r w:rsidR="000174D2" w:rsidRPr="00B514AD">
        <w:rPr>
          <w:rFonts w:ascii="Arial" w:hAnsi="Arial" w:cs="Arial"/>
          <w:color w:val="231F20"/>
        </w:rPr>
        <w:t>Así, por</w:t>
      </w:r>
      <w:r w:rsidRPr="00B514AD">
        <w:rPr>
          <w:rFonts w:ascii="Arial" w:hAnsi="Arial" w:cs="Arial"/>
          <w:color w:val="231F20"/>
        </w:rPr>
        <w:t xml:space="preserve"> ejemplo, la Comisión de Seguimiento y Monitoreo a la Implementación de la Ley 1448 de</w:t>
      </w:r>
      <w:r w:rsidRPr="00B514AD">
        <w:rPr>
          <w:rFonts w:ascii="Arial" w:hAnsi="Arial" w:cs="Arial"/>
          <w:color w:val="231F20"/>
          <w:spacing w:val="-8"/>
        </w:rPr>
        <w:t xml:space="preserve"> </w:t>
      </w:r>
      <w:r w:rsidRPr="00B514AD">
        <w:rPr>
          <w:rFonts w:ascii="Arial" w:hAnsi="Arial" w:cs="Arial"/>
          <w:color w:val="231F20"/>
        </w:rPr>
        <w:t>2011,</w:t>
      </w:r>
      <w:r w:rsidRPr="00B514AD">
        <w:rPr>
          <w:rFonts w:ascii="Arial" w:hAnsi="Arial" w:cs="Arial"/>
          <w:color w:val="231F20"/>
          <w:spacing w:val="-8"/>
        </w:rPr>
        <w:t xml:space="preserve"> </w:t>
      </w:r>
      <w:r w:rsidRPr="00B514AD">
        <w:rPr>
          <w:rFonts w:ascii="Arial" w:hAnsi="Arial" w:cs="Arial"/>
          <w:color w:val="231F20"/>
        </w:rPr>
        <w:t>compuesta</w:t>
      </w:r>
      <w:r w:rsidRPr="00B514AD">
        <w:rPr>
          <w:rFonts w:ascii="Arial" w:hAnsi="Arial" w:cs="Arial"/>
          <w:color w:val="231F20"/>
          <w:spacing w:val="-8"/>
        </w:rPr>
        <w:t xml:space="preserve"> </w:t>
      </w:r>
      <w:r w:rsidRPr="00B514AD">
        <w:rPr>
          <w:rFonts w:ascii="Arial" w:hAnsi="Arial" w:cs="Arial"/>
          <w:color w:val="231F20"/>
        </w:rPr>
        <w:t>por</w:t>
      </w:r>
      <w:r w:rsidRPr="00B514AD">
        <w:rPr>
          <w:rFonts w:ascii="Arial" w:hAnsi="Arial" w:cs="Arial"/>
          <w:color w:val="231F20"/>
          <w:spacing w:val="-7"/>
        </w:rPr>
        <w:t xml:space="preserve"> </w:t>
      </w:r>
      <w:r w:rsidRPr="00B514AD">
        <w:rPr>
          <w:rFonts w:ascii="Arial" w:hAnsi="Arial" w:cs="Arial"/>
          <w:color w:val="231F20"/>
        </w:rPr>
        <w:t>los</w:t>
      </w:r>
      <w:r w:rsidRPr="00B514AD">
        <w:rPr>
          <w:rFonts w:ascii="Arial" w:hAnsi="Arial" w:cs="Arial"/>
          <w:color w:val="231F20"/>
          <w:spacing w:val="-8"/>
        </w:rPr>
        <w:t xml:space="preserve"> </w:t>
      </w:r>
      <w:r w:rsidRPr="00B514AD">
        <w:rPr>
          <w:rFonts w:ascii="Arial" w:hAnsi="Arial" w:cs="Arial"/>
          <w:color w:val="231F20"/>
        </w:rPr>
        <w:t>órganos</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rPr>
        <w:t>control,</w:t>
      </w:r>
      <w:r w:rsidRPr="00B514AD">
        <w:rPr>
          <w:rFonts w:ascii="Arial" w:hAnsi="Arial" w:cs="Arial"/>
          <w:color w:val="231F20"/>
          <w:spacing w:val="-7"/>
        </w:rPr>
        <w:t xml:space="preserve"> </w:t>
      </w:r>
      <w:r w:rsidRPr="00B514AD">
        <w:rPr>
          <w:rFonts w:ascii="Arial" w:hAnsi="Arial" w:cs="Arial"/>
          <w:color w:val="231F20"/>
        </w:rPr>
        <w:t>ha planteado lo siguiente:</w:t>
      </w:r>
    </w:p>
    <w:p w:rsidR="00EC5F4C" w:rsidRPr="00B514AD" w:rsidRDefault="00EC5F4C" w:rsidP="00953CE8">
      <w:pPr>
        <w:pStyle w:val="Textoindependiente"/>
        <w:spacing w:before="79" w:line="228" w:lineRule="auto"/>
        <w:ind w:right="160" w:firstLine="283"/>
        <w:jc w:val="both"/>
        <w:rPr>
          <w:rFonts w:ascii="Arial" w:hAnsi="Arial" w:cs="Arial"/>
        </w:rPr>
      </w:pPr>
      <w:r w:rsidRPr="00B514AD">
        <w:rPr>
          <w:rFonts w:ascii="Arial" w:hAnsi="Arial" w:cs="Arial"/>
          <w:color w:val="231F20"/>
        </w:rPr>
        <w:t>En</w:t>
      </w:r>
      <w:r w:rsidRPr="00B514AD">
        <w:rPr>
          <w:rFonts w:ascii="Arial" w:hAnsi="Arial" w:cs="Arial"/>
          <w:color w:val="231F20"/>
          <w:spacing w:val="-11"/>
        </w:rPr>
        <w:t xml:space="preserve"> </w:t>
      </w:r>
      <w:r w:rsidRPr="00B514AD">
        <w:rPr>
          <w:rFonts w:ascii="Arial" w:hAnsi="Arial" w:cs="Arial"/>
          <w:color w:val="231F20"/>
        </w:rPr>
        <w:t>materia</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rPr>
        <w:t>salud,</w:t>
      </w:r>
      <w:r w:rsidRPr="00B514AD">
        <w:rPr>
          <w:rFonts w:ascii="Arial" w:hAnsi="Arial" w:cs="Arial"/>
          <w:color w:val="231F20"/>
          <w:spacing w:val="-11"/>
        </w:rPr>
        <w:t xml:space="preserve"> </w:t>
      </w:r>
      <w:r w:rsidRPr="00B514AD">
        <w:rPr>
          <w:rFonts w:ascii="Arial" w:hAnsi="Arial" w:cs="Arial"/>
          <w:color w:val="231F20"/>
        </w:rPr>
        <w:t>a</w:t>
      </w:r>
      <w:r w:rsidRPr="00B514AD">
        <w:rPr>
          <w:rFonts w:ascii="Arial" w:hAnsi="Arial" w:cs="Arial"/>
          <w:color w:val="231F20"/>
          <w:spacing w:val="-11"/>
        </w:rPr>
        <w:t xml:space="preserve"> </w:t>
      </w:r>
      <w:r w:rsidRPr="00B514AD">
        <w:rPr>
          <w:rFonts w:ascii="Arial" w:hAnsi="Arial" w:cs="Arial"/>
          <w:color w:val="231F20"/>
        </w:rPr>
        <w:t>pesar</w:t>
      </w:r>
      <w:r w:rsidRPr="00B514AD">
        <w:rPr>
          <w:rFonts w:ascii="Arial" w:hAnsi="Arial" w:cs="Arial"/>
          <w:color w:val="231F20"/>
          <w:spacing w:val="-11"/>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rPr>
        <w:t>que</w:t>
      </w:r>
      <w:r w:rsidRPr="00B514AD">
        <w:rPr>
          <w:rFonts w:ascii="Arial" w:hAnsi="Arial" w:cs="Arial"/>
          <w:color w:val="231F20"/>
          <w:spacing w:val="-11"/>
        </w:rPr>
        <w:t xml:space="preserve"> </w:t>
      </w:r>
      <w:r w:rsidRPr="00B514AD">
        <w:rPr>
          <w:rFonts w:ascii="Arial" w:hAnsi="Arial" w:cs="Arial"/>
          <w:color w:val="231F20"/>
        </w:rPr>
        <w:t>la</w:t>
      </w:r>
      <w:r w:rsidRPr="00B514AD">
        <w:rPr>
          <w:rFonts w:ascii="Arial" w:hAnsi="Arial" w:cs="Arial"/>
          <w:color w:val="231F20"/>
          <w:spacing w:val="-11"/>
        </w:rPr>
        <w:t xml:space="preserve"> </w:t>
      </w:r>
      <w:r w:rsidRPr="00B514AD">
        <w:rPr>
          <w:rFonts w:ascii="Arial" w:hAnsi="Arial" w:cs="Arial"/>
          <w:color w:val="231F20"/>
        </w:rPr>
        <w:t>cobertura para</w:t>
      </w:r>
      <w:r w:rsidRPr="00B514AD">
        <w:rPr>
          <w:rFonts w:ascii="Arial" w:hAnsi="Arial" w:cs="Arial"/>
          <w:color w:val="231F20"/>
          <w:spacing w:val="-10"/>
        </w:rPr>
        <w:t xml:space="preserve"> </w:t>
      </w:r>
      <w:r w:rsidRPr="00B514AD">
        <w:rPr>
          <w:rFonts w:ascii="Arial" w:hAnsi="Arial" w:cs="Arial"/>
          <w:color w:val="231F20"/>
        </w:rPr>
        <w:t>la</w:t>
      </w:r>
      <w:r w:rsidRPr="00B514AD">
        <w:rPr>
          <w:rFonts w:ascii="Arial" w:hAnsi="Arial" w:cs="Arial"/>
          <w:color w:val="231F20"/>
          <w:spacing w:val="-10"/>
        </w:rPr>
        <w:t xml:space="preserve"> </w:t>
      </w:r>
      <w:r w:rsidRPr="00B514AD">
        <w:rPr>
          <w:rFonts w:ascii="Arial" w:hAnsi="Arial" w:cs="Arial"/>
          <w:color w:val="231F20"/>
        </w:rPr>
        <w:t>población</w:t>
      </w:r>
      <w:r w:rsidRPr="00B514AD">
        <w:rPr>
          <w:rFonts w:ascii="Arial" w:hAnsi="Arial" w:cs="Arial"/>
          <w:color w:val="231F20"/>
          <w:spacing w:val="-11"/>
        </w:rPr>
        <w:t xml:space="preserve"> </w:t>
      </w:r>
      <w:r w:rsidRPr="00B514AD">
        <w:rPr>
          <w:rFonts w:ascii="Arial" w:hAnsi="Arial" w:cs="Arial"/>
          <w:color w:val="231F20"/>
        </w:rPr>
        <w:t>víctima</w:t>
      </w:r>
      <w:r w:rsidRPr="00B514AD">
        <w:rPr>
          <w:rFonts w:ascii="Arial" w:hAnsi="Arial" w:cs="Arial"/>
          <w:color w:val="231F20"/>
          <w:spacing w:val="-10"/>
        </w:rPr>
        <w:t xml:space="preserve"> </w:t>
      </w:r>
      <w:r w:rsidRPr="00B514AD">
        <w:rPr>
          <w:rFonts w:ascii="Arial" w:hAnsi="Arial" w:cs="Arial"/>
          <w:color w:val="231F20"/>
        </w:rPr>
        <w:t>ha</w:t>
      </w:r>
      <w:r w:rsidRPr="00B514AD">
        <w:rPr>
          <w:rFonts w:ascii="Arial" w:hAnsi="Arial" w:cs="Arial"/>
          <w:color w:val="231F20"/>
          <w:spacing w:val="-10"/>
        </w:rPr>
        <w:t xml:space="preserve"> </w:t>
      </w:r>
      <w:r w:rsidRPr="00B514AD">
        <w:rPr>
          <w:rFonts w:ascii="Arial" w:hAnsi="Arial" w:cs="Arial"/>
          <w:color w:val="231F20"/>
        </w:rPr>
        <w:t>aumentado,</w:t>
      </w:r>
      <w:r w:rsidRPr="00B514AD">
        <w:rPr>
          <w:rFonts w:ascii="Arial" w:hAnsi="Arial" w:cs="Arial"/>
          <w:color w:val="231F20"/>
          <w:spacing w:val="-10"/>
        </w:rPr>
        <w:t xml:space="preserve"> </w:t>
      </w:r>
      <w:r w:rsidRPr="00B514AD">
        <w:rPr>
          <w:rFonts w:ascii="Arial" w:hAnsi="Arial" w:cs="Arial"/>
          <w:color w:val="231F20"/>
        </w:rPr>
        <w:t>la</w:t>
      </w:r>
      <w:r w:rsidRPr="00B514AD">
        <w:rPr>
          <w:rFonts w:ascii="Arial" w:hAnsi="Arial" w:cs="Arial"/>
          <w:color w:val="231F20"/>
          <w:spacing w:val="-10"/>
        </w:rPr>
        <w:t xml:space="preserve"> </w:t>
      </w:r>
      <w:r w:rsidRPr="00B514AD">
        <w:rPr>
          <w:rFonts w:ascii="Arial" w:hAnsi="Arial" w:cs="Arial"/>
          <w:color w:val="231F20"/>
        </w:rPr>
        <w:t>tasa</w:t>
      </w:r>
      <w:r w:rsidRPr="00B514AD">
        <w:rPr>
          <w:rFonts w:ascii="Arial" w:hAnsi="Arial" w:cs="Arial"/>
          <w:color w:val="231F20"/>
          <w:spacing w:val="-10"/>
        </w:rPr>
        <w:t xml:space="preserve"> </w:t>
      </w:r>
      <w:r w:rsidRPr="00B514AD">
        <w:rPr>
          <w:rFonts w:ascii="Arial" w:hAnsi="Arial" w:cs="Arial"/>
          <w:color w:val="231F20"/>
        </w:rPr>
        <w:t>de crecimiento</w:t>
      </w:r>
      <w:r w:rsidRPr="00B514AD">
        <w:rPr>
          <w:rFonts w:ascii="Arial" w:hAnsi="Arial" w:cs="Arial"/>
          <w:color w:val="231F20"/>
          <w:spacing w:val="-13"/>
        </w:rPr>
        <w:t xml:space="preserve"> </w:t>
      </w:r>
      <w:r w:rsidRPr="00B514AD">
        <w:rPr>
          <w:rFonts w:ascii="Arial" w:hAnsi="Arial" w:cs="Arial"/>
          <w:color w:val="231F20"/>
        </w:rPr>
        <w:t>lo</w:t>
      </w:r>
      <w:r w:rsidRPr="00B514AD">
        <w:rPr>
          <w:rFonts w:ascii="Arial" w:hAnsi="Arial" w:cs="Arial"/>
          <w:color w:val="231F20"/>
          <w:spacing w:val="-12"/>
        </w:rPr>
        <w:t xml:space="preserve"> </w:t>
      </w:r>
      <w:r w:rsidRPr="00B514AD">
        <w:rPr>
          <w:rFonts w:ascii="Arial" w:hAnsi="Arial" w:cs="Arial"/>
          <w:color w:val="231F20"/>
        </w:rPr>
        <w:t>ha</w:t>
      </w:r>
      <w:r w:rsidRPr="00B514AD">
        <w:rPr>
          <w:rFonts w:ascii="Arial" w:hAnsi="Arial" w:cs="Arial"/>
          <w:color w:val="231F20"/>
          <w:spacing w:val="-12"/>
        </w:rPr>
        <w:t xml:space="preserve"> </w:t>
      </w:r>
      <w:r w:rsidRPr="00B514AD">
        <w:rPr>
          <w:rFonts w:ascii="Arial" w:hAnsi="Arial" w:cs="Arial"/>
          <w:color w:val="231F20"/>
        </w:rPr>
        <w:t>hecho</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forma</w:t>
      </w:r>
      <w:r w:rsidRPr="00B514AD">
        <w:rPr>
          <w:rFonts w:ascii="Arial" w:hAnsi="Arial" w:cs="Arial"/>
          <w:color w:val="231F20"/>
          <w:spacing w:val="-12"/>
        </w:rPr>
        <w:t xml:space="preserve"> </w:t>
      </w:r>
      <w:r w:rsidRPr="00B514AD">
        <w:rPr>
          <w:rFonts w:ascii="Arial" w:hAnsi="Arial" w:cs="Arial"/>
          <w:color w:val="231F20"/>
        </w:rPr>
        <w:t>lenta</w:t>
      </w:r>
      <w:r w:rsidRPr="00B514AD">
        <w:rPr>
          <w:rFonts w:ascii="Arial" w:hAnsi="Arial" w:cs="Arial"/>
          <w:color w:val="231F20"/>
          <w:spacing w:val="-12"/>
        </w:rPr>
        <w:t xml:space="preserve"> </w:t>
      </w:r>
      <w:r w:rsidRPr="00B514AD">
        <w:rPr>
          <w:rFonts w:ascii="Arial" w:hAnsi="Arial" w:cs="Arial"/>
          <w:color w:val="231F20"/>
        </w:rPr>
        <w:t>(menos</w:t>
      </w:r>
      <w:r w:rsidRPr="00B514AD">
        <w:rPr>
          <w:rFonts w:ascii="Arial" w:hAnsi="Arial" w:cs="Arial"/>
          <w:color w:val="231F20"/>
          <w:spacing w:val="-12"/>
        </w:rPr>
        <w:t xml:space="preserve"> </w:t>
      </w:r>
      <w:r w:rsidRPr="00B514AD">
        <w:rPr>
          <w:rFonts w:ascii="Arial" w:hAnsi="Arial" w:cs="Arial"/>
          <w:color w:val="231F20"/>
        </w:rPr>
        <w:t>del 1 por ciento entre 2016 y 2017). Adicionalmente, el cubrimiento esperado para la población</w:t>
      </w:r>
      <w:r w:rsidRPr="00B514AD">
        <w:rPr>
          <w:rFonts w:ascii="Arial" w:hAnsi="Arial" w:cs="Arial"/>
          <w:color w:val="231F20"/>
          <w:spacing w:val="-30"/>
        </w:rPr>
        <w:t xml:space="preserve"> </w:t>
      </w:r>
      <w:r w:rsidR="000174D2" w:rsidRPr="00B514AD">
        <w:rPr>
          <w:rFonts w:ascii="Arial" w:hAnsi="Arial" w:cs="Arial"/>
          <w:color w:val="231F20"/>
        </w:rPr>
        <w:t>víctima en</w:t>
      </w:r>
      <w:r w:rsidRPr="00B514AD">
        <w:rPr>
          <w:rFonts w:ascii="Arial" w:hAnsi="Arial" w:cs="Arial"/>
          <w:color w:val="231F20"/>
        </w:rPr>
        <w:t xml:space="preserve"> 2021 está al menos 2 puntos porcentuales por debajo de la tasa promedio nacional en 2016 (95.66 por ciento).</w:t>
      </w:r>
    </w:p>
    <w:p w:rsidR="00EC5F4C" w:rsidRPr="00B514AD" w:rsidRDefault="00EC5F4C" w:rsidP="00017F19">
      <w:pPr>
        <w:pStyle w:val="Textoindependiente"/>
        <w:spacing w:before="89" w:line="235" w:lineRule="auto"/>
        <w:ind w:right="40" w:firstLine="283"/>
        <w:jc w:val="both"/>
        <w:rPr>
          <w:rFonts w:ascii="Arial" w:hAnsi="Arial" w:cs="Arial"/>
        </w:rPr>
      </w:pPr>
      <w:r w:rsidRPr="00B514AD">
        <w:rPr>
          <w:rFonts w:ascii="Arial" w:hAnsi="Arial" w:cs="Arial"/>
          <w:color w:val="231F20"/>
        </w:rPr>
        <w:t>La implementación de un modelo de atención integral en salud para población víctima del conflicto armado, en el que las entidades territoriales cuenten con capacidades técnicas para su ejecución y monitoreo, ha sido lenta y no ha logrado resolver las inequidades para el</w:t>
      </w:r>
      <w:r w:rsidRPr="00B514AD">
        <w:rPr>
          <w:rFonts w:ascii="Arial" w:hAnsi="Arial" w:cs="Arial"/>
          <w:color w:val="231F20"/>
          <w:spacing w:val="-29"/>
        </w:rPr>
        <w:t xml:space="preserve"> </w:t>
      </w:r>
      <w:r w:rsidRPr="00B514AD">
        <w:rPr>
          <w:rFonts w:ascii="Arial" w:hAnsi="Arial" w:cs="Arial"/>
          <w:color w:val="231F20"/>
        </w:rPr>
        <w:t>acceso a este derecho por parte de las víctimas. Los indicadores básicos de salud para el seguimiento y evaluación del Plan Decenal de Salud Pública (PDSP) no muestran un enfoque diferencial hacia las</w:t>
      </w:r>
      <w:r w:rsidRPr="00B514AD">
        <w:rPr>
          <w:rFonts w:ascii="Arial" w:hAnsi="Arial" w:cs="Arial"/>
          <w:color w:val="231F20"/>
          <w:spacing w:val="-16"/>
        </w:rPr>
        <w:t xml:space="preserve"> </w:t>
      </w:r>
      <w:r w:rsidRPr="00B514AD">
        <w:rPr>
          <w:rFonts w:ascii="Arial" w:hAnsi="Arial" w:cs="Arial"/>
          <w:color w:val="231F20"/>
        </w:rPr>
        <w:t>víctimas</w:t>
      </w:r>
      <w:r w:rsidRPr="00B514AD">
        <w:rPr>
          <w:rFonts w:ascii="Arial" w:hAnsi="Arial" w:cs="Arial"/>
          <w:color w:val="231F20"/>
          <w:spacing w:val="-15"/>
        </w:rPr>
        <w:t xml:space="preserve"> </w:t>
      </w:r>
      <w:r w:rsidRPr="00B514AD">
        <w:rPr>
          <w:rFonts w:ascii="Arial" w:hAnsi="Arial" w:cs="Arial"/>
          <w:color w:val="231F20"/>
        </w:rPr>
        <w:t>y</w:t>
      </w:r>
      <w:r w:rsidRPr="00B514AD">
        <w:rPr>
          <w:rFonts w:ascii="Arial" w:hAnsi="Arial" w:cs="Arial"/>
          <w:color w:val="231F20"/>
          <w:spacing w:val="-15"/>
        </w:rPr>
        <w:t xml:space="preserve"> </w:t>
      </w:r>
      <w:r w:rsidRPr="00B514AD">
        <w:rPr>
          <w:rFonts w:ascii="Arial" w:hAnsi="Arial" w:cs="Arial"/>
          <w:color w:val="231F20"/>
        </w:rPr>
        <w:t>en</w:t>
      </w:r>
      <w:r w:rsidRPr="00B514AD">
        <w:rPr>
          <w:rFonts w:ascii="Arial" w:hAnsi="Arial" w:cs="Arial"/>
          <w:color w:val="231F20"/>
          <w:spacing w:val="-15"/>
        </w:rPr>
        <w:t xml:space="preserve"> </w:t>
      </w:r>
      <w:r w:rsidRPr="00B514AD">
        <w:rPr>
          <w:rFonts w:ascii="Arial" w:hAnsi="Arial" w:cs="Arial"/>
          <w:color w:val="231F20"/>
        </w:rPr>
        <w:t>la</w:t>
      </w:r>
      <w:r w:rsidRPr="00B514AD">
        <w:rPr>
          <w:rFonts w:ascii="Arial" w:hAnsi="Arial" w:cs="Arial"/>
          <w:color w:val="231F20"/>
          <w:spacing w:val="-15"/>
        </w:rPr>
        <w:t xml:space="preserve"> </w:t>
      </w:r>
      <w:r w:rsidRPr="00B514AD">
        <w:rPr>
          <w:rFonts w:ascii="Arial" w:hAnsi="Arial" w:cs="Arial"/>
          <w:color w:val="231F20"/>
        </w:rPr>
        <w:t>actualidad</w:t>
      </w:r>
      <w:r w:rsidRPr="00B514AD">
        <w:rPr>
          <w:rFonts w:ascii="Arial" w:hAnsi="Arial" w:cs="Arial"/>
          <w:color w:val="231F20"/>
          <w:spacing w:val="-15"/>
        </w:rPr>
        <w:t xml:space="preserve"> </w:t>
      </w:r>
      <w:r w:rsidRPr="00B514AD">
        <w:rPr>
          <w:rFonts w:ascii="Arial" w:hAnsi="Arial" w:cs="Arial"/>
          <w:color w:val="231F20"/>
        </w:rPr>
        <w:t>no</w:t>
      </w:r>
      <w:r w:rsidRPr="00B514AD">
        <w:rPr>
          <w:rFonts w:ascii="Arial" w:hAnsi="Arial" w:cs="Arial"/>
          <w:color w:val="231F20"/>
          <w:spacing w:val="-15"/>
        </w:rPr>
        <w:t xml:space="preserve"> </w:t>
      </w:r>
      <w:r w:rsidRPr="00B514AD">
        <w:rPr>
          <w:rFonts w:ascii="Arial" w:hAnsi="Arial" w:cs="Arial"/>
          <w:color w:val="231F20"/>
        </w:rPr>
        <w:t>existe</w:t>
      </w:r>
      <w:r w:rsidRPr="00B514AD">
        <w:rPr>
          <w:rFonts w:ascii="Arial" w:hAnsi="Arial" w:cs="Arial"/>
          <w:color w:val="231F20"/>
          <w:spacing w:val="-15"/>
        </w:rPr>
        <w:t xml:space="preserve"> </w:t>
      </w:r>
      <w:r w:rsidRPr="00B514AD">
        <w:rPr>
          <w:rFonts w:ascii="Arial" w:hAnsi="Arial" w:cs="Arial"/>
          <w:color w:val="231F20"/>
        </w:rPr>
        <w:t>un</w:t>
      </w:r>
      <w:r w:rsidRPr="00B514AD">
        <w:rPr>
          <w:rFonts w:ascii="Arial" w:hAnsi="Arial" w:cs="Arial"/>
          <w:color w:val="231F20"/>
          <w:spacing w:val="-15"/>
        </w:rPr>
        <w:t xml:space="preserve"> </w:t>
      </w:r>
      <w:r w:rsidRPr="00B514AD">
        <w:rPr>
          <w:rFonts w:ascii="Arial" w:hAnsi="Arial" w:cs="Arial"/>
          <w:color w:val="231F20"/>
        </w:rPr>
        <w:t>registro que</w:t>
      </w:r>
      <w:r w:rsidRPr="00B514AD">
        <w:rPr>
          <w:rFonts w:ascii="Arial" w:hAnsi="Arial" w:cs="Arial"/>
          <w:color w:val="231F20"/>
          <w:spacing w:val="-11"/>
        </w:rPr>
        <w:t xml:space="preserve"> </w:t>
      </w:r>
      <w:r w:rsidRPr="00B514AD">
        <w:rPr>
          <w:rFonts w:ascii="Arial" w:hAnsi="Arial" w:cs="Arial"/>
          <w:color w:val="231F20"/>
        </w:rPr>
        <w:t>permita</w:t>
      </w:r>
      <w:r w:rsidRPr="00B514AD">
        <w:rPr>
          <w:rFonts w:ascii="Arial" w:hAnsi="Arial" w:cs="Arial"/>
          <w:color w:val="231F20"/>
          <w:spacing w:val="-12"/>
        </w:rPr>
        <w:t xml:space="preserve"> </w:t>
      </w:r>
      <w:r w:rsidRPr="00B514AD">
        <w:rPr>
          <w:rFonts w:ascii="Arial" w:hAnsi="Arial" w:cs="Arial"/>
          <w:color w:val="231F20"/>
        </w:rPr>
        <w:t>identificar</w:t>
      </w:r>
      <w:r w:rsidRPr="00B514AD">
        <w:rPr>
          <w:rFonts w:ascii="Arial" w:hAnsi="Arial" w:cs="Arial"/>
          <w:color w:val="231F20"/>
          <w:spacing w:val="-11"/>
        </w:rPr>
        <w:t xml:space="preserve"> </w:t>
      </w:r>
      <w:r w:rsidRPr="00B514AD">
        <w:rPr>
          <w:rFonts w:ascii="Arial" w:hAnsi="Arial" w:cs="Arial"/>
          <w:color w:val="231F20"/>
        </w:rPr>
        <w:t>su</w:t>
      </w:r>
      <w:r w:rsidRPr="00B514AD">
        <w:rPr>
          <w:rFonts w:ascii="Arial" w:hAnsi="Arial" w:cs="Arial"/>
          <w:color w:val="231F20"/>
          <w:spacing w:val="-11"/>
        </w:rPr>
        <w:t xml:space="preserve"> </w:t>
      </w:r>
      <w:r w:rsidRPr="00B514AD">
        <w:rPr>
          <w:rFonts w:ascii="Arial" w:hAnsi="Arial" w:cs="Arial"/>
          <w:color w:val="231F20"/>
        </w:rPr>
        <w:t>afiliación</w:t>
      </w:r>
      <w:r w:rsidRPr="00B514AD">
        <w:rPr>
          <w:rFonts w:ascii="Arial" w:hAnsi="Arial" w:cs="Arial"/>
          <w:color w:val="231F20"/>
          <w:spacing w:val="-11"/>
        </w:rPr>
        <w:t xml:space="preserve"> </w:t>
      </w:r>
      <w:r w:rsidRPr="00B514AD">
        <w:rPr>
          <w:rFonts w:ascii="Arial" w:hAnsi="Arial" w:cs="Arial"/>
          <w:color w:val="231F20"/>
        </w:rPr>
        <w:t>como</w:t>
      </w:r>
      <w:r w:rsidRPr="00B514AD">
        <w:rPr>
          <w:rFonts w:ascii="Arial" w:hAnsi="Arial" w:cs="Arial"/>
          <w:color w:val="231F20"/>
          <w:spacing w:val="-11"/>
        </w:rPr>
        <w:t xml:space="preserve"> </w:t>
      </w:r>
      <w:r w:rsidRPr="00B514AD">
        <w:rPr>
          <w:rFonts w:ascii="Arial" w:hAnsi="Arial" w:cs="Arial"/>
          <w:color w:val="231F20"/>
        </w:rPr>
        <w:t>parte</w:t>
      </w:r>
      <w:r w:rsidRPr="00B514AD">
        <w:rPr>
          <w:rFonts w:ascii="Arial" w:hAnsi="Arial" w:cs="Arial"/>
          <w:color w:val="231F20"/>
          <w:spacing w:val="-12"/>
        </w:rPr>
        <w:t xml:space="preserve"> </w:t>
      </w:r>
      <w:r w:rsidRPr="00B514AD">
        <w:rPr>
          <w:rFonts w:ascii="Arial" w:hAnsi="Arial" w:cs="Arial"/>
          <w:color w:val="231F20"/>
        </w:rPr>
        <w:t>de poblaciones especiales.</w:t>
      </w:r>
    </w:p>
    <w:p w:rsidR="00EC5F4C" w:rsidRPr="00B514AD" w:rsidRDefault="00EC5F4C" w:rsidP="00017F19">
      <w:pPr>
        <w:pStyle w:val="Textoindependiente"/>
        <w:spacing w:before="101" w:line="235" w:lineRule="auto"/>
        <w:ind w:right="41" w:firstLine="283"/>
        <w:jc w:val="both"/>
        <w:rPr>
          <w:rFonts w:ascii="Arial" w:hAnsi="Arial" w:cs="Arial"/>
        </w:rPr>
      </w:pPr>
      <w:r w:rsidRPr="00B514AD">
        <w:rPr>
          <w:rFonts w:ascii="Arial" w:hAnsi="Arial" w:cs="Arial"/>
          <w:color w:val="231F20"/>
        </w:rPr>
        <w:t>Sobre educación, se ha resaltado la existencia de problemas para identificar adecuadamente a la población de víctimas en el marco de las medidas desarrolladas para la satisfacción de este derecho, de tal forma que estos problemas impiden identificar si efectivamente la población que se encuentra</w:t>
      </w:r>
      <w:r w:rsidRPr="00B514AD">
        <w:rPr>
          <w:rFonts w:ascii="Arial" w:hAnsi="Arial" w:cs="Arial"/>
          <w:color w:val="231F20"/>
          <w:spacing w:val="-10"/>
        </w:rPr>
        <w:t xml:space="preserve"> </w:t>
      </w:r>
      <w:r w:rsidRPr="00B514AD">
        <w:rPr>
          <w:rFonts w:ascii="Arial" w:hAnsi="Arial" w:cs="Arial"/>
          <w:color w:val="231F20"/>
        </w:rPr>
        <w:t>cubierta</w:t>
      </w:r>
      <w:r w:rsidRPr="00B514AD">
        <w:rPr>
          <w:rFonts w:ascii="Arial" w:hAnsi="Arial" w:cs="Arial"/>
          <w:color w:val="231F20"/>
          <w:spacing w:val="-9"/>
        </w:rPr>
        <w:t xml:space="preserve"> </w:t>
      </w:r>
      <w:r w:rsidRPr="00B514AD">
        <w:rPr>
          <w:rFonts w:ascii="Arial" w:hAnsi="Arial" w:cs="Arial"/>
          <w:color w:val="231F20"/>
        </w:rPr>
        <w:t>por</w:t>
      </w:r>
      <w:r w:rsidRPr="00B514AD">
        <w:rPr>
          <w:rFonts w:ascii="Arial" w:hAnsi="Arial" w:cs="Arial"/>
          <w:color w:val="231F20"/>
          <w:spacing w:val="-9"/>
        </w:rPr>
        <w:t xml:space="preserve"> </w:t>
      </w:r>
      <w:r w:rsidRPr="00B514AD">
        <w:rPr>
          <w:rFonts w:ascii="Arial" w:hAnsi="Arial" w:cs="Arial"/>
          <w:color w:val="231F20"/>
        </w:rPr>
        <w:t>el</w:t>
      </w:r>
      <w:r w:rsidRPr="00B514AD">
        <w:rPr>
          <w:rFonts w:ascii="Arial" w:hAnsi="Arial" w:cs="Arial"/>
          <w:color w:val="231F20"/>
          <w:spacing w:val="-9"/>
        </w:rPr>
        <w:t xml:space="preserve"> </w:t>
      </w:r>
      <w:r w:rsidRPr="00B514AD">
        <w:rPr>
          <w:rFonts w:ascii="Arial" w:hAnsi="Arial" w:cs="Arial"/>
          <w:color w:val="231F20"/>
        </w:rPr>
        <w:t>sistema</w:t>
      </w:r>
      <w:r w:rsidRPr="00B514AD">
        <w:rPr>
          <w:rFonts w:ascii="Arial" w:hAnsi="Arial" w:cs="Arial"/>
          <w:color w:val="231F20"/>
          <w:spacing w:val="-9"/>
        </w:rPr>
        <w:t xml:space="preserve"> </w:t>
      </w:r>
      <w:r w:rsidRPr="00B514AD">
        <w:rPr>
          <w:rFonts w:ascii="Arial" w:hAnsi="Arial" w:cs="Arial"/>
          <w:color w:val="231F20"/>
        </w:rPr>
        <w:t>escolar</w:t>
      </w:r>
      <w:r w:rsidRPr="00B514AD">
        <w:rPr>
          <w:rFonts w:ascii="Arial" w:hAnsi="Arial" w:cs="Arial"/>
          <w:color w:val="231F20"/>
          <w:spacing w:val="-9"/>
        </w:rPr>
        <w:t xml:space="preserve"> </w:t>
      </w:r>
      <w:r w:rsidRPr="00B514AD">
        <w:rPr>
          <w:rFonts w:ascii="Arial" w:hAnsi="Arial" w:cs="Arial"/>
          <w:color w:val="231F20"/>
        </w:rPr>
        <w:t>y</w:t>
      </w:r>
      <w:r w:rsidRPr="00B514AD">
        <w:rPr>
          <w:rFonts w:ascii="Arial" w:hAnsi="Arial" w:cs="Arial"/>
          <w:color w:val="231F20"/>
          <w:spacing w:val="-10"/>
        </w:rPr>
        <w:t xml:space="preserve"> </w:t>
      </w:r>
      <w:r w:rsidRPr="00B514AD">
        <w:rPr>
          <w:rFonts w:ascii="Arial" w:hAnsi="Arial" w:cs="Arial"/>
          <w:color w:val="231F20"/>
        </w:rPr>
        <w:t xml:space="preserve">aquella que está desescolarizada, lo cual impiden </w:t>
      </w:r>
      <w:r w:rsidRPr="00B514AD">
        <w:rPr>
          <w:rFonts w:ascii="Arial" w:hAnsi="Arial" w:cs="Arial"/>
          <w:color w:val="231F20"/>
        </w:rPr>
        <w:lastRenderedPageBreak/>
        <w:t xml:space="preserve">ejercer un control </w:t>
      </w:r>
      <w:r w:rsidRPr="00B514AD">
        <w:rPr>
          <w:rFonts w:ascii="Arial" w:hAnsi="Arial" w:cs="Arial"/>
          <w:i/>
          <w:color w:val="231F20"/>
        </w:rPr>
        <w:t xml:space="preserve">y </w:t>
      </w:r>
      <w:r w:rsidRPr="00B514AD">
        <w:rPr>
          <w:rFonts w:ascii="Arial" w:hAnsi="Arial" w:cs="Arial"/>
          <w:color w:val="231F20"/>
        </w:rPr>
        <w:t>seguimiento adecuado. Esto debido a diferencias en la información entre los diferentes sistemas de información del Ministerio de Educación Nacional (MEN), el Sistema</w:t>
      </w:r>
      <w:r w:rsidRPr="00B514AD">
        <w:rPr>
          <w:rFonts w:ascii="Arial" w:hAnsi="Arial" w:cs="Arial"/>
          <w:color w:val="231F20"/>
          <w:spacing w:val="-20"/>
        </w:rPr>
        <w:t xml:space="preserve"> </w:t>
      </w:r>
      <w:r w:rsidRPr="00B514AD">
        <w:rPr>
          <w:rFonts w:ascii="Arial" w:hAnsi="Arial" w:cs="Arial"/>
          <w:color w:val="231F20"/>
        </w:rPr>
        <w:t xml:space="preserve">Integrado de Matrícula </w:t>
      </w:r>
      <w:r w:rsidRPr="00B514AD">
        <w:rPr>
          <w:rFonts w:ascii="Arial" w:hAnsi="Arial" w:cs="Arial"/>
          <w:color w:val="231F20"/>
          <w:spacing w:val="-4"/>
        </w:rPr>
        <w:t xml:space="preserve">(SIMAT) </w:t>
      </w:r>
      <w:r w:rsidRPr="00B514AD">
        <w:rPr>
          <w:rFonts w:ascii="Arial" w:hAnsi="Arial" w:cs="Arial"/>
          <w:color w:val="231F20"/>
        </w:rPr>
        <w:t>y la</w:t>
      </w:r>
      <w:r w:rsidRPr="00B514AD">
        <w:rPr>
          <w:rFonts w:ascii="Arial" w:hAnsi="Arial" w:cs="Arial"/>
          <w:color w:val="231F20"/>
          <w:spacing w:val="5"/>
        </w:rPr>
        <w:t xml:space="preserve"> </w:t>
      </w:r>
      <w:r w:rsidRPr="00B514AD">
        <w:rPr>
          <w:rFonts w:ascii="Arial" w:hAnsi="Arial" w:cs="Arial"/>
          <w:color w:val="231F20"/>
          <w:spacing w:val="-6"/>
        </w:rPr>
        <w:t>UARIV.</w:t>
      </w:r>
    </w:p>
    <w:p w:rsidR="00EC5F4C" w:rsidRPr="00B514AD" w:rsidRDefault="00EC5F4C" w:rsidP="00017F19">
      <w:pPr>
        <w:pStyle w:val="Textoindependiente"/>
        <w:spacing w:before="102" w:line="235" w:lineRule="auto"/>
        <w:ind w:right="42" w:firstLine="283"/>
        <w:jc w:val="both"/>
        <w:rPr>
          <w:rFonts w:ascii="Arial" w:hAnsi="Arial" w:cs="Arial"/>
        </w:rPr>
      </w:pPr>
      <w:r w:rsidRPr="00B514AD">
        <w:rPr>
          <w:rFonts w:ascii="Arial" w:hAnsi="Arial" w:cs="Arial"/>
          <w:color w:val="231F20"/>
        </w:rPr>
        <w:t xml:space="preserve">El acceso y la gratuidad en la educación, entendida como la exención del pago de derechos académicos y servicios </w:t>
      </w:r>
      <w:r w:rsidR="000174D2" w:rsidRPr="00B514AD">
        <w:rPr>
          <w:rFonts w:ascii="Arial" w:hAnsi="Arial" w:cs="Arial"/>
          <w:color w:val="231F20"/>
        </w:rPr>
        <w:t>complementarios desde</w:t>
      </w:r>
      <w:r w:rsidRPr="00B514AD">
        <w:rPr>
          <w:rFonts w:ascii="Arial" w:hAnsi="Arial" w:cs="Arial"/>
          <w:color w:val="231F20"/>
        </w:rPr>
        <w:t xml:space="preserve"> el grado 0 hasta </w:t>
      </w:r>
      <w:r w:rsidRPr="00B514AD">
        <w:rPr>
          <w:rFonts w:ascii="Arial" w:hAnsi="Arial" w:cs="Arial"/>
          <w:color w:val="231F20"/>
          <w:spacing w:val="-3"/>
        </w:rPr>
        <w:t xml:space="preserve">11, </w:t>
      </w:r>
      <w:r w:rsidRPr="00B514AD">
        <w:rPr>
          <w:rFonts w:ascii="Arial" w:hAnsi="Arial" w:cs="Arial"/>
          <w:color w:val="231F20"/>
        </w:rPr>
        <w:t>se estableció en Colombia desde 2012 y se genera independientemente de la situación de victimización.</w:t>
      </w:r>
    </w:p>
    <w:p w:rsidR="00EC5F4C" w:rsidRPr="00B514AD" w:rsidRDefault="00EC5F4C" w:rsidP="00017F19">
      <w:pPr>
        <w:pStyle w:val="Textoindependiente"/>
        <w:spacing w:before="93" w:line="235" w:lineRule="auto"/>
        <w:ind w:right="38" w:firstLine="283"/>
        <w:jc w:val="both"/>
        <w:rPr>
          <w:rFonts w:ascii="Arial" w:hAnsi="Arial" w:cs="Arial"/>
        </w:rPr>
      </w:pPr>
      <w:r w:rsidRPr="00B514AD">
        <w:rPr>
          <w:rFonts w:ascii="Arial" w:hAnsi="Arial" w:cs="Arial"/>
          <w:color w:val="231F20"/>
        </w:rPr>
        <w:t xml:space="preserve">Así pues, </w:t>
      </w:r>
      <w:r w:rsidR="000174D2" w:rsidRPr="00B514AD">
        <w:rPr>
          <w:rFonts w:ascii="Arial" w:hAnsi="Arial" w:cs="Arial"/>
          <w:color w:val="231F20"/>
        </w:rPr>
        <w:t>la política frente a la inclusión de</w:t>
      </w:r>
      <w:r w:rsidRPr="00B514AD">
        <w:rPr>
          <w:rFonts w:ascii="Arial" w:hAnsi="Arial" w:cs="Arial"/>
          <w:color w:val="231F20"/>
        </w:rPr>
        <w:t xml:space="preserve"> las víctimas se </w:t>
      </w:r>
      <w:r w:rsidR="000174D2" w:rsidRPr="00B514AD">
        <w:rPr>
          <w:rFonts w:ascii="Arial" w:hAnsi="Arial" w:cs="Arial"/>
          <w:color w:val="231F20"/>
        </w:rPr>
        <w:t>ha centrado en el aumento</w:t>
      </w:r>
      <w:r w:rsidRPr="00B514AD">
        <w:rPr>
          <w:rFonts w:ascii="Arial" w:hAnsi="Arial" w:cs="Arial"/>
          <w:color w:val="231F20"/>
        </w:rPr>
        <w:t xml:space="preserve"> de cobertura, principalmente en la población escolar, sin que se haya profundizado en el acceso a formación universitaria. Del 100% de las personas inscritas en el Fondo de Reparación para al Acceso, Permanencia y Graduación en Educación Superior para la Población Víctima (80.136), sólo el 4 por ciento (3.243) logró acceder a un crédito educativo, lo que refleja la dificultad de dicho Fondo para cumplir con la demanda</w:t>
      </w:r>
      <w:r w:rsidRPr="00B514AD">
        <w:rPr>
          <w:rFonts w:ascii="Arial" w:hAnsi="Arial" w:cs="Arial"/>
          <w:color w:val="231F20"/>
          <w:spacing w:val="4"/>
        </w:rPr>
        <w:t xml:space="preserve"> </w:t>
      </w:r>
      <w:r w:rsidRPr="00B514AD">
        <w:rPr>
          <w:rFonts w:ascii="Arial" w:hAnsi="Arial" w:cs="Arial"/>
          <w:color w:val="231F20"/>
        </w:rPr>
        <w:t>requerida.</w:t>
      </w:r>
    </w:p>
    <w:p w:rsidR="00EC5F4C" w:rsidRPr="00B514AD" w:rsidRDefault="00EC5F4C" w:rsidP="00017F19">
      <w:pPr>
        <w:pStyle w:val="Textoindependiente"/>
        <w:spacing w:before="101" w:line="235" w:lineRule="auto"/>
        <w:ind w:right="41" w:firstLine="283"/>
        <w:jc w:val="both"/>
        <w:rPr>
          <w:rFonts w:ascii="Arial" w:hAnsi="Arial" w:cs="Arial"/>
        </w:rPr>
      </w:pPr>
      <w:r w:rsidRPr="00B514AD">
        <w:rPr>
          <w:rFonts w:ascii="Arial" w:hAnsi="Arial" w:cs="Arial"/>
          <w:color w:val="231F20"/>
        </w:rPr>
        <w:t>Sobre</w:t>
      </w:r>
      <w:r w:rsidRPr="00B514AD">
        <w:rPr>
          <w:rFonts w:ascii="Arial" w:hAnsi="Arial" w:cs="Arial"/>
          <w:color w:val="231F20"/>
          <w:spacing w:val="-23"/>
        </w:rPr>
        <w:t xml:space="preserve"> </w:t>
      </w:r>
      <w:r w:rsidRPr="00B514AD">
        <w:rPr>
          <w:rFonts w:ascii="Arial" w:hAnsi="Arial" w:cs="Arial"/>
          <w:color w:val="231F20"/>
        </w:rPr>
        <w:t>el</w:t>
      </w:r>
      <w:r w:rsidRPr="00B514AD">
        <w:rPr>
          <w:rFonts w:ascii="Arial" w:hAnsi="Arial" w:cs="Arial"/>
          <w:color w:val="231F20"/>
          <w:spacing w:val="-23"/>
        </w:rPr>
        <w:t xml:space="preserve"> </w:t>
      </w:r>
      <w:r w:rsidRPr="00B514AD">
        <w:rPr>
          <w:rFonts w:ascii="Arial" w:hAnsi="Arial" w:cs="Arial"/>
          <w:color w:val="231F20"/>
        </w:rPr>
        <w:t>particular,</w:t>
      </w:r>
      <w:r w:rsidRPr="00B514AD">
        <w:rPr>
          <w:rFonts w:ascii="Arial" w:hAnsi="Arial" w:cs="Arial"/>
          <w:color w:val="231F20"/>
          <w:spacing w:val="-23"/>
        </w:rPr>
        <w:t xml:space="preserve"> </w:t>
      </w:r>
      <w:r w:rsidRPr="00B514AD">
        <w:rPr>
          <w:rFonts w:ascii="Arial" w:hAnsi="Arial" w:cs="Arial"/>
          <w:color w:val="231F20"/>
        </w:rPr>
        <w:t>la</w:t>
      </w:r>
      <w:r w:rsidRPr="00B514AD">
        <w:rPr>
          <w:rFonts w:ascii="Arial" w:hAnsi="Arial" w:cs="Arial"/>
          <w:color w:val="231F20"/>
          <w:spacing w:val="-23"/>
        </w:rPr>
        <w:t xml:space="preserve"> </w:t>
      </w:r>
      <w:r w:rsidRPr="00B514AD">
        <w:rPr>
          <w:rFonts w:ascii="Arial" w:hAnsi="Arial" w:cs="Arial"/>
          <w:color w:val="231F20"/>
        </w:rPr>
        <w:t>Comisión</w:t>
      </w:r>
      <w:r w:rsidRPr="00B514AD">
        <w:rPr>
          <w:rFonts w:ascii="Arial" w:hAnsi="Arial" w:cs="Arial"/>
          <w:color w:val="231F20"/>
          <w:spacing w:val="-23"/>
        </w:rPr>
        <w:t xml:space="preserve"> </w:t>
      </w:r>
      <w:r w:rsidRPr="00B514AD">
        <w:rPr>
          <w:rFonts w:ascii="Arial" w:hAnsi="Arial" w:cs="Arial"/>
          <w:color w:val="231F20"/>
        </w:rPr>
        <w:t>de</w:t>
      </w:r>
      <w:r w:rsidRPr="00B514AD">
        <w:rPr>
          <w:rFonts w:ascii="Arial" w:hAnsi="Arial" w:cs="Arial"/>
          <w:color w:val="231F20"/>
          <w:spacing w:val="-22"/>
        </w:rPr>
        <w:t xml:space="preserve"> </w:t>
      </w:r>
      <w:r w:rsidRPr="00B514AD">
        <w:rPr>
          <w:rFonts w:ascii="Arial" w:hAnsi="Arial" w:cs="Arial"/>
          <w:color w:val="231F20"/>
        </w:rPr>
        <w:t>Seguimiento a la Política Pública sobre Desplazamiento Forzado en el marco de la audiencia pública de seguimiento al estado de cosas inconstitucional sobre desplazamiento forzado - realizada en noviembre de 2018, indicó</w:t>
      </w:r>
      <w:r w:rsidRPr="00B514AD">
        <w:rPr>
          <w:rFonts w:ascii="Arial" w:hAnsi="Arial" w:cs="Arial"/>
          <w:color w:val="231F20"/>
          <w:spacing w:val="-1"/>
        </w:rPr>
        <w:t xml:space="preserve"> </w:t>
      </w:r>
      <w:r w:rsidRPr="00B514AD">
        <w:rPr>
          <w:rFonts w:ascii="Arial" w:hAnsi="Arial" w:cs="Arial"/>
          <w:color w:val="231F20"/>
        </w:rPr>
        <w:t>que:</w:t>
      </w:r>
    </w:p>
    <w:p w:rsidR="00EC5F4C" w:rsidRPr="00B514AD" w:rsidRDefault="00EC5F4C" w:rsidP="00953CE8">
      <w:pPr>
        <w:pStyle w:val="Textoindependiente"/>
        <w:spacing w:before="93" w:line="235" w:lineRule="auto"/>
        <w:ind w:right="41" w:firstLine="283"/>
        <w:jc w:val="both"/>
        <w:rPr>
          <w:rFonts w:ascii="Arial" w:hAnsi="Arial" w:cs="Arial"/>
        </w:rPr>
      </w:pPr>
      <w:r w:rsidRPr="00B514AD">
        <w:rPr>
          <w:rFonts w:ascii="Arial" w:hAnsi="Arial" w:cs="Arial"/>
          <w:color w:val="231F20"/>
        </w:rPr>
        <w:t>“Sorprende que en las nuevas mediciones,  con  estadísticas  administrativas,  el  indicador de asistencia escolar se deteriore en forma importante, al estimarse en 75,8% el porcentaje de niños, niñas y adolescentes entre 6 y 16 años de edad que asiste a educación preescolar, básica</w:t>
      </w:r>
      <w:r w:rsidR="00953CE8" w:rsidRPr="00B514AD">
        <w:rPr>
          <w:rFonts w:ascii="Arial" w:hAnsi="Arial" w:cs="Arial"/>
          <w:color w:val="231F20"/>
        </w:rPr>
        <w:t xml:space="preserve"> </w:t>
      </w:r>
      <w:r w:rsidRPr="00B514AD">
        <w:rPr>
          <w:rFonts w:ascii="Arial" w:hAnsi="Arial" w:cs="Arial"/>
          <w:color w:val="231F20"/>
        </w:rPr>
        <w:t>y media</w:t>
      </w:r>
      <w:r w:rsidR="00EA5CC2" w:rsidRPr="00B514AD">
        <w:rPr>
          <w:rStyle w:val="Refdenotaalpie"/>
          <w:rFonts w:ascii="Arial" w:hAnsi="Arial" w:cs="Arial"/>
          <w:color w:val="231F20"/>
        </w:rPr>
        <w:footnoteReference w:id="2"/>
      </w:r>
      <w:r w:rsidRPr="00B514AD">
        <w:rPr>
          <w:rFonts w:ascii="Arial" w:hAnsi="Arial" w:cs="Arial"/>
          <w:color w:val="231F20"/>
        </w:rPr>
        <w:t xml:space="preserve">. Esto </w:t>
      </w:r>
      <w:r w:rsidR="000174D2" w:rsidRPr="00B514AD">
        <w:rPr>
          <w:rFonts w:ascii="Arial" w:hAnsi="Arial" w:cs="Arial"/>
          <w:color w:val="231F20"/>
        </w:rPr>
        <w:t>sugiere que las dificultades</w:t>
      </w:r>
      <w:r w:rsidRPr="00B514AD">
        <w:rPr>
          <w:rFonts w:ascii="Arial" w:hAnsi="Arial" w:cs="Arial"/>
          <w:color w:val="231F20"/>
          <w:spacing w:val="41"/>
        </w:rPr>
        <w:t xml:space="preserve"> </w:t>
      </w:r>
      <w:r w:rsidRPr="00B514AD">
        <w:rPr>
          <w:rFonts w:ascii="Arial" w:hAnsi="Arial" w:cs="Arial"/>
          <w:color w:val="231F20"/>
        </w:rPr>
        <w:t>de la información administrativa para la medición de GED, aún no se han superado. Peor aún, la comparación de indicadores entre la población</w:t>
      </w:r>
      <w:r w:rsidR="00953CE8" w:rsidRPr="00B514AD">
        <w:rPr>
          <w:rFonts w:ascii="Arial" w:hAnsi="Arial" w:cs="Arial"/>
          <w:color w:val="231F20"/>
        </w:rPr>
        <w:t xml:space="preserve"> </w:t>
      </w:r>
      <w:r w:rsidRPr="00B514AD">
        <w:rPr>
          <w:rFonts w:ascii="Arial" w:hAnsi="Arial" w:cs="Arial"/>
          <w:color w:val="231F20"/>
        </w:rPr>
        <w:t>desplazada y la  población  total,  que  se  toma como base para la medición de umbrales que permitan la superación del ECI,  muestra  que la situación de la población víctima de desplazamiento forzado se encuentra más lejos de la población de referencia que lo reportado por las encuestas de 2013 y anteriores</w:t>
      </w:r>
      <w:r w:rsidR="00EA5CC2" w:rsidRPr="00B514AD">
        <w:rPr>
          <w:rStyle w:val="Refdenotaalpie"/>
          <w:rFonts w:ascii="Arial" w:hAnsi="Arial" w:cs="Arial"/>
          <w:color w:val="231F20"/>
        </w:rPr>
        <w:footnoteReference w:id="3"/>
      </w:r>
      <w:r w:rsidRPr="00B514AD">
        <w:rPr>
          <w:rFonts w:ascii="Arial" w:hAnsi="Arial" w:cs="Arial"/>
          <w:color w:val="231F20"/>
        </w:rPr>
        <w:t>, siendo especialmente impactante la diferencia en tasa neta en educación media que para la población desplazada</w:t>
      </w:r>
      <w:r w:rsidRPr="00B514AD">
        <w:rPr>
          <w:rFonts w:ascii="Arial" w:hAnsi="Arial" w:cs="Arial"/>
          <w:color w:val="231F20"/>
          <w:spacing w:val="32"/>
        </w:rPr>
        <w:t xml:space="preserve"> </w:t>
      </w:r>
      <w:r w:rsidRPr="00B514AD">
        <w:rPr>
          <w:rFonts w:ascii="Arial" w:hAnsi="Arial" w:cs="Arial"/>
          <w:color w:val="231F20"/>
        </w:rPr>
        <w:t>solo</w:t>
      </w:r>
      <w:r w:rsidRPr="00B514AD">
        <w:rPr>
          <w:rFonts w:ascii="Arial" w:hAnsi="Arial" w:cs="Arial"/>
          <w:color w:val="231F20"/>
          <w:spacing w:val="33"/>
        </w:rPr>
        <w:t xml:space="preserve"> </w:t>
      </w:r>
      <w:r w:rsidRPr="00B514AD">
        <w:rPr>
          <w:rFonts w:ascii="Arial" w:hAnsi="Arial" w:cs="Arial"/>
          <w:color w:val="231F20"/>
        </w:rPr>
        <w:t>alcanza</w:t>
      </w:r>
      <w:r w:rsidRPr="00B514AD">
        <w:rPr>
          <w:rFonts w:ascii="Arial" w:hAnsi="Arial" w:cs="Arial"/>
          <w:color w:val="231F20"/>
          <w:spacing w:val="32"/>
        </w:rPr>
        <w:t xml:space="preserve"> </w:t>
      </w:r>
      <w:r w:rsidRPr="00B514AD">
        <w:rPr>
          <w:rFonts w:ascii="Arial" w:hAnsi="Arial" w:cs="Arial"/>
          <w:color w:val="231F20"/>
        </w:rPr>
        <w:t>15,76%,</w:t>
      </w:r>
      <w:r w:rsidRPr="00B514AD">
        <w:rPr>
          <w:rFonts w:ascii="Arial" w:hAnsi="Arial" w:cs="Arial"/>
          <w:color w:val="231F20"/>
          <w:spacing w:val="33"/>
        </w:rPr>
        <w:t xml:space="preserve"> </w:t>
      </w:r>
      <w:r w:rsidRPr="00B514AD">
        <w:rPr>
          <w:rFonts w:ascii="Arial" w:hAnsi="Arial" w:cs="Arial"/>
          <w:color w:val="231F20"/>
        </w:rPr>
        <w:t>limitando</w:t>
      </w:r>
      <w:r w:rsidRPr="00B514AD">
        <w:rPr>
          <w:rFonts w:ascii="Arial" w:hAnsi="Arial" w:cs="Arial"/>
          <w:color w:val="231F20"/>
          <w:spacing w:val="32"/>
        </w:rPr>
        <w:t xml:space="preserve"> </w:t>
      </w:r>
      <w:r w:rsidRPr="00B514AD">
        <w:rPr>
          <w:rFonts w:ascii="Arial" w:hAnsi="Arial" w:cs="Arial"/>
          <w:color w:val="231F20"/>
        </w:rPr>
        <w:t>para</w:t>
      </w:r>
      <w:r w:rsidR="00953CE8" w:rsidRPr="00B514AD">
        <w:rPr>
          <w:rFonts w:ascii="Arial" w:hAnsi="Arial" w:cs="Arial"/>
          <w:color w:val="231F20"/>
        </w:rPr>
        <w:t xml:space="preserve"> </w:t>
      </w:r>
      <w:r w:rsidRPr="00B514AD">
        <w:rPr>
          <w:rFonts w:ascii="Arial" w:hAnsi="Arial" w:cs="Arial"/>
          <w:color w:val="231F20"/>
        </w:rPr>
        <w:t>esta población las posibilidades de continuar un proceso educativo formal”.</w:t>
      </w:r>
    </w:p>
    <w:p w:rsidR="00EC5F4C" w:rsidRPr="00B514AD" w:rsidRDefault="00EC5F4C" w:rsidP="00017F19">
      <w:pPr>
        <w:pStyle w:val="Textoindependiente"/>
        <w:spacing w:before="89" w:line="223" w:lineRule="auto"/>
        <w:ind w:right="160" w:firstLine="283"/>
        <w:jc w:val="both"/>
        <w:rPr>
          <w:rFonts w:ascii="Arial" w:hAnsi="Arial" w:cs="Arial"/>
        </w:rPr>
      </w:pPr>
      <w:r w:rsidRPr="00B514AD">
        <w:rPr>
          <w:rFonts w:ascii="Arial" w:hAnsi="Arial" w:cs="Arial"/>
          <w:color w:val="231F20"/>
        </w:rPr>
        <w:t>Por su parte en lo referente a la política de retomo y reubicaciones, no existe información rigurosa del total de familias y personas que están en procesos de retorno o reubicación. Según cifras del propio Estado, 2.034.607 víctimas de desplazamiento forzado retornaron sin acompañamiento g</w:t>
      </w:r>
      <w:r w:rsidR="00EA5CC2" w:rsidRPr="00B514AD">
        <w:rPr>
          <w:rFonts w:ascii="Arial" w:hAnsi="Arial" w:cs="Arial"/>
          <w:color w:val="231F20"/>
        </w:rPr>
        <w:t>ubernamental</w:t>
      </w:r>
      <w:r w:rsidR="00EA5CC2" w:rsidRPr="00B514AD">
        <w:rPr>
          <w:rStyle w:val="Refdenotaalpie"/>
          <w:rFonts w:ascii="Arial" w:hAnsi="Arial" w:cs="Arial"/>
          <w:color w:val="231F20"/>
        </w:rPr>
        <w:footnoteReference w:id="4"/>
      </w:r>
      <w:r w:rsidRPr="00B514AD">
        <w:rPr>
          <w:rFonts w:ascii="Arial" w:hAnsi="Arial" w:cs="Arial"/>
          <w:color w:val="231F20"/>
        </w:rPr>
        <w:t>. Mientras tanto, el número de retornos acompañados podría estimarse en 200.879, pues este  es  el  número de actas de voluntariedad suscritas</w:t>
      </w:r>
      <w:r w:rsidR="00EA5CC2" w:rsidRPr="00B514AD">
        <w:rPr>
          <w:rStyle w:val="Refdenotaalpie"/>
          <w:rFonts w:ascii="Arial" w:hAnsi="Arial" w:cs="Arial"/>
          <w:color w:val="231F20"/>
        </w:rPr>
        <w:footnoteReference w:id="5"/>
      </w:r>
      <w:r w:rsidRPr="00B514AD">
        <w:rPr>
          <w:rFonts w:ascii="Arial" w:hAnsi="Arial" w:cs="Arial"/>
          <w:color w:val="231F20"/>
        </w:rPr>
        <w:t>. Según el Gobierno,</w:t>
      </w:r>
      <w:r w:rsidRPr="00B514AD">
        <w:rPr>
          <w:rFonts w:ascii="Arial" w:hAnsi="Arial" w:cs="Arial"/>
          <w:color w:val="231F20"/>
          <w:spacing w:val="-14"/>
        </w:rPr>
        <w:t xml:space="preserve"> </w:t>
      </w:r>
      <w:r w:rsidRPr="00B514AD">
        <w:rPr>
          <w:rFonts w:ascii="Arial" w:hAnsi="Arial" w:cs="Arial"/>
          <w:color w:val="231F20"/>
        </w:rPr>
        <w:t>se</w:t>
      </w:r>
      <w:r w:rsidRPr="00B514AD">
        <w:rPr>
          <w:rFonts w:ascii="Arial" w:hAnsi="Arial" w:cs="Arial"/>
          <w:color w:val="231F20"/>
          <w:spacing w:val="-15"/>
        </w:rPr>
        <w:t xml:space="preserve"> </w:t>
      </w:r>
      <w:r w:rsidRPr="00B514AD">
        <w:rPr>
          <w:rFonts w:ascii="Arial" w:hAnsi="Arial" w:cs="Arial"/>
          <w:color w:val="231F20"/>
        </w:rPr>
        <w:t>han</w:t>
      </w:r>
      <w:r w:rsidRPr="00B514AD">
        <w:rPr>
          <w:rFonts w:ascii="Arial" w:hAnsi="Arial" w:cs="Arial"/>
          <w:color w:val="231F20"/>
          <w:spacing w:val="-14"/>
        </w:rPr>
        <w:t xml:space="preserve"> </w:t>
      </w:r>
      <w:r w:rsidRPr="00B514AD">
        <w:rPr>
          <w:rFonts w:ascii="Arial" w:hAnsi="Arial" w:cs="Arial"/>
          <w:color w:val="231F20"/>
        </w:rPr>
        <w:t>elaborado</w:t>
      </w:r>
      <w:r w:rsidRPr="00B514AD">
        <w:rPr>
          <w:rFonts w:ascii="Arial" w:hAnsi="Arial" w:cs="Arial"/>
          <w:color w:val="231F20"/>
          <w:spacing w:val="-14"/>
        </w:rPr>
        <w:t xml:space="preserve"> </w:t>
      </w:r>
      <w:r w:rsidRPr="00B514AD">
        <w:rPr>
          <w:rFonts w:ascii="Arial" w:hAnsi="Arial" w:cs="Arial"/>
          <w:color w:val="231F20"/>
        </w:rPr>
        <w:t>267</w:t>
      </w:r>
      <w:r w:rsidRPr="00B514AD">
        <w:rPr>
          <w:rFonts w:ascii="Arial" w:hAnsi="Arial" w:cs="Arial"/>
          <w:color w:val="231F20"/>
          <w:spacing w:val="-14"/>
        </w:rPr>
        <w:t xml:space="preserve"> </w:t>
      </w:r>
      <w:r w:rsidRPr="00B514AD">
        <w:rPr>
          <w:rFonts w:ascii="Arial" w:hAnsi="Arial" w:cs="Arial"/>
          <w:color w:val="231F20"/>
        </w:rPr>
        <w:t>planes</w:t>
      </w:r>
      <w:r w:rsidRPr="00B514AD">
        <w:rPr>
          <w:rFonts w:ascii="Arial" w:hAnsi="Arial" w:cs="Arial"/>
          <w:color w:val="231F20"/>
          <w:spacing w:val="-14"/>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retornos y reubicaciones, de los cuales 38 son</w:t>
      </w:r>
      <w:r w:rsidRPr="00B514AD">
        <w:rPr>
          <w:rFonts w:ascii="Arial" w:hAnsi="Arial" w:cs="Arial"/>
          <w:color w:val="231F20"/>
          <w:spacing w:val="-2"/>
        </w:rPr>
        <w:t xml:space="preserve"> </w:t>
      </w:r>
      <w:r w:rsidRPr="00B514AD">
        <w:rPr>
          <w:rFonts w:ascii="Arial" w:hAnsi="Arial" w:cs="Arial"/>
          <w:color w:val="231F20"/>
        </w:rPr>
        <w:t>étnicos</w:t>
      </w:r>
      <w:r w:rsidR="00EA5CC2" w:rsidRPr="00B514AD">
        <w:rPr>
          <w:rStyle w:val="Refdenotaalpie"/>
          <w:rFonts w:ascii="Arial" w:hAnsi="Arial" w:cs="Arial"/>
          <w:color w:val="231F20"/>
        </w:rPr>
        <w:footnoteReference w:id="6"/>
      </w:r>
      <w:r w:rsidRPr="00B514AD">
        <w:rPr>
          <w:rFonts w:ascii="Arial" w:hAnsi="Arial" w:cs="Arial"/>
          <w:color w:val="231F20"/>
        </w:rPr>
        <w:t>.</w:t>
      </w:r>
    </w:p>
    <w:p w:rsidR="00EC5F4C" w:rsidRPr="00B514AD" w:rsidRDefault="00EC5F4C" w:rsidP="00017F19">
      <w:pPr>
        <w:pStyle w:val="Textoindependiente"/>
        <w:spacing w:before="68" w:line="264" w:lineRule="exact"/>
        <w:ind w:right="159" w:firstLine="283"/>
        <w:jc w:val="both"/>
        <w:rPr>
          <w:rFonts w:ascii="Arial" w:hAnsi="Arial" w:cs="Arial"/>
        </w:rPr>
      </w:pPr>
      <w:r w:rsidRPr="00B514AD">
        <w:rPr>
          <w:rFonts w:ascii="Arial" w:hAnsi="Arial" w:cs="Arial"/>
          <w:color w:val="231F20"/>
        </w:rPr>
        <w:t>De acuerdo con Codhes, se han implementado 75 planes de retorno y reubicación y un total de 198.940 hogares han recibido</w:t>
      </w:r>
      <w:r w:rsidRPr="00B514AD">
        <w:rPr>
          <w:rFonts w:ascii="Arial" w:hAnsi="Arial" w:cs="Arial"/>
          <w:color w:val="231F20"/>
          <w:spacing w:val="47"/>
        </w:rPr>
        <w:t xml:space="preserve"> </w:t>
      </w:r>
      <w:r w:rsidRPr="00B514AD">
        <w:rPr>
          <w:rFonts w:ascii="Arial" w:hAnsi="Arial" w:cs="Arial"/>
          <w:color w:val="231F20"/>
        </w:rPr>
        <w:t xml:space="preserve">acompañamiento por parte </w:t>
      </w:r>
      <w:r w:rsidRPr="00B514AD">
        <w:rPr>
          <w:rFonts w:ascii="Arial" w:hAnsi="Arial" w:cs="Arial"/>
          <w:color w:val="231F20"/>
        </w:rPr>
        <w:lastRenderedPageBreak/>
        <w:t>del Estado en estos procesos</w:t>
      </w:r>
      <w:r w:rsidR="00EA5CC2" w:rsidRPr="00B514AD">
        <w:rPr>
          <w:rStyle w:val="Refdenotaalpie"/>
          <w:rFonts w:ascii="Arial" w:hAnsi="Arial" w:cs="Arial"/>
          <w:color w:val="231F20"/>
        </w:rPr>
        <w:footnoteReference w:id="7"/>
      </w:r>
      <w:r w:rsidRPr="00B514AD">
        <w:rPr>
          <w:rFonts w:ascii="Arial" w:hAnsi="Arial" w:cs="Arial"/>
          <w:color w:val="231F20"/>
        </w:rPr>
        <w:t>, sin embargo sólo tiene acceso a los</w:t>
      </w:r>
      <w:r w:rsidRPr="00B514AD">
        <w:rPr>
          <w:rFonts w:ascii="Arial" w:hAnsi="Arial" w:cs="Arial"/>
          <w:color w:val="231F20"/>
          <w:spacing w:val="41"/>
        </w:rPr>
        <w:t xml:space="preserve"> </w:t>
      </w:r>
      <w:r w:rsidRPr="00B514AD">
        <w:rPr>
          <w:rFonts w:ascii="Arial" w:hAnsi="Arial" w:cs="Arial"/>
          <w:color w:val="231F20"/>
        </w:rPr>
        <w:t>Esquemas Especiales de Acompañamiento el  equivalente  al 18% de los hogares  que  han  firmado  actas de voluntariedad. De igual manera, solo se ha avanzado</w:t>
      </w:r>
      <w:r w:rsidRPr="00B514AD">
        <w:rPr>
          <w:rFonts w:ascii="Arial" w:hAnsi="Arial" w:cs="Arial"/>
          <w:color w:val="231F20"/>
          <w:spacing w:val="-11"/>
        </w:rPr>
        <w:t xml:space="preserve"> </w:t>
      </w:r>
      <w:r w:rsidRPr="00B514AD">
        <w:rPr>
          <w:rFonts w:ascii="Arial" w:hAnsi="Arial" w:cs="Arial"/>
          <w:color w:val="231F20"/>
        </w:rPr>
        <w:t>en</w:t>
      </w:r>
      <w:r w:rsidRPr="00B514AD">
        <w:rPr>
          <w:rFonts w:ascii="Arial" w:hAnsi="Arial" w:cs="Arial"/>
          <w:color w:val="231F20"/>
          <w:spacing w:val="-10"/>
        </w:rPr>
        <w:t xml:space="preserve"> </w:t>
      </w:r>
      <w:r w:rsidRPr="00B514AD">
        <w:rPr>
          <w:rFonts w:ascii="Arial" w:hAnsi="Arial" w:cs="Arial"/>
          <w:color w:val="231F20"/>
        </w:rPr>
        <w:t>el</w:t>
      </w:r>
      <w:r w:rsidRPr="00B514AD">
        <w:rPr>
          <w:rFonts w:ascii="Arial" w:hAnsi="Arial" w:cs="Arial"/>
          <w:color w:val="231F20"/>
          <w:spacing w:val="-10"/>
        </w:rPr>
        <w:t xml:space="preserve"> </w:t>
      </w:r>
      <w:r w:rsidRPr="00B514AD">
        <w:rPr>
          <w:rFonts w:ascii="Arial" w:hAnsi="Arial" w:cs="Arial"/>
          <w:color w:val="231F20"/>
        </w:rPr>
        <w:t>Programa</w:t>
      </w:r>
      <w:r w:rsidRPr="00B514AD">
        <w:rPr>
          <w:rFonts w:ascii="Arial" w:hAnsi="Arial" w:cs="Arial"/>
          <w:color w:val="231F20"/>
          <w:spacing w:val="-10"/>
        </w:rPr>
        <w:t xml:space="preserve"> </w:t>
      </w:r>
      <w:r w:rsidRPr="00B514AD">
        <w:rPr>
          <w:rFonts w:ascii="Arial" w:hAnsi="Arial" w:cs="Arial"/>
          <w:color w:val="231F20"/>
        </w:rPr>
        <w:t>de</w:t>
      </w:r>
      <w:r w:rsidRPr="00B514AD">
        <w:rPr>
          <w:rFonts w:ascii="Arial" w:hAnsi="Arial" w:cs="Arial"/>
          <w:color w:val="231F20"/>
          <w:spacing w:val="-10"/>
        </w:rPr>
        <w:t xml:space="preserve"> </w:t>
      </w:r>
      <w:r w:rsidRPr="00B514AD">
        <w:rPr>
          <w:rFonts w:ascii="Arial" w:hAnsi="Arial" w:cs="Arial"/>
          <w:color w:val="231F20"/>
        </w:rPr>
        <w:t>Dotación</w:t>
      </w:r>
      <w:r w:rsidRPr="00B514AD">
        <w:rPr>
          <w:rFonts w:ascii="Arial" w:hAnsi="Arial" w:cs="Arial"/>
          <w:color w:val="231F20"/>
          <w:spacing w:val="-10"/>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Tierras</w:t>
      </w:r>
      <w:r w:rsidRPr="00B514AD">
        <w:rPr>
          <w:rFonts w:ascii="Arial" w:hAnsi="Arial" w:cs="Arial"/>
          <w:color w:val="231F20"/>
          <w:spacing w:val="-10"/>
        </w:rPr>
        <w:t xml:space="preserve"> </w:t>
      </w:r>
      <w:r w:rsidRPr="00B514AD">
        <w:rPr>
          <w:rFonts w:ascii="Arial" w:hAnsi="Arial" w:cs="Arial"/>
          <w:color w:val="231F20"/>
        </w:rPr>
        <w:t>y Regularización de la Propiedad a Nivel Nacional en un 67,2 por ciento.</w:t>
      </w:r>
    </w:p>
    <w:p w:rsidR="00EC5F4C" w:rsidRPr="00B514AD" w:rsidRDefault="00EC5F4C" w:rsidP="00EA5CC2">
      <w:pPr>
        <w:pStyle w:val="Textoindependiente"/>
        <w:spacing w:before="79" w:line="230" w:lineRule="auto"/>
        <w:ind w:right="160" w:firstLine="283"/>
        <w:jc w:val="both"/>
        <w:rPr>
          <w:rFonts w:ascii="Arial" w:hAnsi="Arial" w:cs="Arial"/>
        </w:rPr>
      </w:pPr>
      <w:r w:rsidRPr="00B514AD">
        <w:rPr>
          <w:rFonts w:ascii="Arial" w:hAnsi="Arial" w:cs="Arial"/>
          <w:color w:val="231F20"/>
        </w:rPr>
        <w:t xml:space="preserve">En materia de </w:t>
      </w:r>
      <w:r w:rsidR="000174D2" w:rsidRPr="00B514AD">
        <w:rPr>
          <w:rFonts w:ascii="Arial" w:hAnsi="Arial" w:cs="Arial"/>
          <w:color w:val="231F20"/>
        </w:rPr>
        <w:t>restitución de tierras, según el</w:t>
      </w:r>
      <w:r w:rsidRPr="00B514AD">
        <w:rPr>
          <w:rFonts w:ascii="Arial" w:hAnsi="Arial" w:cs="Arial"/>
          <w:color w:val="231F20"/>
        </w:rPr>
        <w:t xml:space="preserve"> informe de la Comisión de Seguimiento y Monitoreo</w:t>
      </w:r>
      <w:r w:rsidRPr="00B514AD">
        <w:rPr>
          <w:rFonts w:ascii="Arial" w:hAnsi="Arial" w:cs="Arial"/>
          <w:color w:val="231F20"/>
          <w:spacing w:val="-6"/>
        </w:rPr>
        <w:t xml:space="preserve"> </w:t>
      </w:r>
      <w:r w:rsidRPr="00B514AD">
        <w:rPr>
          <w:rFonts w:ascii="Arial" w:hAnsi="Arial" w:cs="Arial"/>
          <w:color w:val="231F20"/>
        </w:rPr>
        <w:t>a</w:t>
      </w:r>
      <w:r w:rsidRPr="00B514AD">
        <w:rPr>
          <w:rFonts w:ascii="Arial" w:hAnsi="Arial" w:cs="Arial"/>
          <w:color w:val="231F20"/>
          <w:spacing w:val="-6"/>
        </w:rPr>
        <w:t xml:space="preserve"> </w:t>
      </w:r>
      <w:r w:rsidRPr="00B514AD">
        <w:rPr>
          <w:rFonts w:ascii="Arial" w:hAnsi="Arial" w:cs="Arial"/>
          <w:color w:val="231F20"/>
        </w:rPr>
        <w:t>la</w:t>
      </w:r>
      <w:r w:rsidRPr="00B514AD">
        <w:rPr>
          <w:rFonts w:ascii="Arial" w:hAnsi="Arial" w:cs="Arial"/>
          <w:color w:val="231F20"/>
          <w:spacing w:val="-6"/>
        </w:rPr>
        <w:t xml:space="preserve"> </w:t>
      </w:r>
      <w:r w:rsidRPr="00B514AD">
        <w:rPr>
          <w:rFonts w:ascii="Arial" w:hAnsi="Arial" w:cs="Arial"/>
          <w:color w:val="231F20"/>
        </w:rPr>
        <w:t>Implementación</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la</w:t>
      </w:r>
      <w:r w:rsidRPr="00B514AD">
        <w:rPr>
          <w:rFonts w:ascii="Arial" w:hAnsi="Arial" w:cs="Arial"/>
          <w:color w:val="231F20"/>
          <w:spacing w:val="-6"/>
        </w:rPr>
        <w:t xml:space="preserve"> </w:t>
      </w:r>
      <w:r w:rsidRPr="00B514AD">
        <w:rPr>
          <w:rFonts w:ascii="Arial" w:hAnsi="Arial" w:cs="Arial"/>
          <w:color w:val="231F20"/>
        </w:rPr>
        <w:t>Ley</w:t>
      </w:r>
      <w:r w:rsidRPr="00B514AD">
        <w:rPr>
          <w:rFonts w:ascii="Arial" w:hAnsi="Arial" w:cs="Arial"/>
          <w:color w:val="231F20"/>
          <w:spacing w:val="-6"/>
        </w:rPr>
        <w:t xml:space="preserve"> </w:t>
      </w:r>
      <w:r w:rsidRPr="00B514AD">
        <w:rPr>
          <w:rFonts w:ascii="Arial" w:hAnsi="Arial" w:cs="Arial"/>
          <w:color w:val="231F20"/>
        </w:rPr>
        <w:t>1448</w:t>
      </w:r>
      <w:r w:rsidRPr="00B514AD">
        <w:rPr>
          <w:rFonts w:ascii="Arial" w:hAnsi="Arial" w:cs="Arial"/>
          <w:color w:val="231F20"/>
          <w:spacing w:val="-6"/>
        </w:rPr>
        <w:t xml:space="preserve"> </w:t>
      </w:r>
      <w:r w:rsidRPr="00B514AD">
        <w:rPr>
          <w:rFonts w:ascii="Arial" w:hAnsi="Arial" w:cs="Arial"/>
          <w:color w:val="231F20"/>
        </w:rPr>
        <w:t>de 2011,</w:t>
      </w:r>
      <w:r w:rsidRPr="00B514AD">
        <w:rPr>
          <w:rFonts w:ascii="Arial" w:hAnsi="Arial" w:cs="Arial"/>
          <w:color w:val="231F20"/>
          <w:spacing w:val="-34"/>
        </w:rPr>
        <w:t xml:space="preserve"> </w:t>
      </w:r>
      <w:r w:rsidRPr="00B514AD">
        <w:rPr>
          <w:rFonts w:ascii="Arial" w:hAnsi="Arial" w:cs="Arial"/>
          <w:color w:val="231F20"/>
          <w:spacing w:val="6"/>
        </w:rPr>
        <w:t>acorte</w:t>
      </w:r>
      <w:r w:rsidR="00953CE8" w:rsidRPr="00B514AD">
        <w:rPr>
          <w:rFonts w:ascii="Arial" w:hAnsi="Arial" w:cs="Arial"/>
          <w:color w:val="231F20"/>
          <w:spacing w:val="6"/>
        </w:rPr>
        <w:t xml:space="preserve"> </w:t>
      </w:r>
      <w:r w:rsidRPr="00B514AD">
        <w:rPr>
          <w:rFonts w:ascii="Arial" w:hAnsi="Arial" w:cs="Arial"/>
          <w:color w:val="231F20"/>
          <w:spacing w:val="6"/>
        </w:rPr>
        <w:t>de</w:t>
      </w:r>
      <w:r w:rsidRPr="00B514AD">
        <w:rPr>
          <w:rFonts w:ascii="Arial" w:hAnsi="Arial" w:cs="Arial"/>
          <w:color w:val="231F20"/>
          <w:spacing w:val="-33"/>
        </w:rPr>
        <w:t xml:space="preserve"> </w:t>
      </w:r>
      <w:r w:rsidRPr="00B514AD">
        <w:rPr>
          <w:rFonts w:ascii="Arial" w:hAnsi="Arial" w:cs="Arial"/>
          <w:color w:val="231F20"/>
        </w:rPr>
        <w:t>31</w:t>
      </w:r>
      <w:r w:rsidRPr="00B514AD">
        <w:rPr>
          <w:rFonts w:ascii="Arial" w:hAnsi="Arial" w:cs="Arial"/>
          <w:color w:val="231F20"/>
          <w:spacing w:val="-34"/>
        </w:rPr>
        <w:t xml:space="preserve"> </w:t>
      </w:r>
      <w:r w:rsidRPr="00B514AD">
        <w:rPr>
          <w:rFonts w:ascii="Arial" w:hAnsi="Arial" w:cs="Arial"/>
          <w:color w:val="231F20"/>
          <w:spacing w:val="6"/>
        </w:rPr>
        <w:t>de</w:t>
      </w:r>
      <w:r w:rsidR="00953CE8" w:rsidRPr="00B514AD">
        <w:rPr>
          <w:rFonts w:ascii="Arial" w:hAnsi="Arial" w:cs="Arial"/>
          <w:color w:val="231F20"/>
          <w:spacing w:val="6"/>
        </w:rPr>
        <w:t xml:space="preserve"> </w:t>
      </w:r>
      <w:r w:rsidRPr="00B514AD">
        <w:rPr>
          <w:rFonts w:ascii="Arial" w:hAnsi="Arial" w:cs="Arial"/>
          <w:color w:val="231F20"/>
          <w:spacing w:val="6"/>
        </w:rPr>
        <w:t>marzo</w:t>
      </w:r>
      <w:r w:rsidR="00953CE8" w:rsidRPr="00B514AD">
        <w:rPr>
          <w:rFonts w:ascii="Arial" w:hAnsi="Arial" w:cs="Arial"/>
          <w:color w:val="231F20"/>
          <w:spacing w:val="6"/>
        </w:rPr>
        <w:t xml:space="preserve"> </w:t>
      </w:r>
      <w:r w:rsidRPr="00B514AD">
        <w:rPr>
          <w:rFonts w:ascii="Arial" w:hAnsi="Arial" w:cs="Arial"/>
          <w:color w:val="231F20"/>
          <w:spacing w:val="6"/>
        </w:rPr>
        <w:t>de</w:t>
      </w:r>
      <w:r w:rsidRPr="00B514AD">
        <w:rPr>
          <w:rFonts w:ascii="Arial" w:hAnsi="Arial" w:cs="Arial"/>
          <w:color w:val="231F20"/>
          <w:spacing w:val="-33"/>
        </w:rPr>
        <w:t xml:space="preserve"> </w:t>
      </w:r>
      <w:r w:rsidRPr="00B514AD">
        <w:rPr>
          <w:rFonts w:ascii="Arial" w:hAnsi="Arial" w:cs="Arial"/>
          <w:color w:val="231F20"/>
        </w:rPr>
        <w:t>2018,</w:t>
      </w:r>
      <w:r w:rsidRPr="00B514AD">
        <w:rPr>
          <w:rFonts w:ascii="Arial" w:hAnsi="Arial" w:cs="Arial"/>
          <w:color w:val="231F20"/>
          <w:spacing w:val="-33"/>
        </w:rPr>
        <w:t xml:space="preserve"> </w:t>
      </w:r>
      <w:r w:rsidRPr="00B514AD">
        <w:rPr>
          <w:rFonts w:ascii="Arial" w:hAnsi="Arial" w:cs="Arial"/>
          <w:color w:val="231F20"/>
          <w:spacing w:val="2"/>
        </w:rPr>
        <w:t>se</w:t>
      </w:r>
      <w:r w:rsidR="00953CE8" w:rsidRPr="00B514AD">
        <w:rPr>
          <w:rFonts w:ascii="Arial" w:hAnsi="Arial" w:cs="Arial"/>
          <w:color w:val="231F20"/>
          <w:spacing w:val="2"/>
        </w:rPr>
        <w:t xml:space="preserve"> </w:t>
      </w:r>
      <w:r w:rsidRPr="00B514AD">
        <w:rPr>
          <w:rFonts w:ascii="Arial" w:hAnsi="Arial" w:cs="Arial"/>
          <w:color w:val="231F20"/>
          <w:spacing w:val="2"/>
        </w:rPr>
        <w:t xml:space="preserve">presentaron </w:t>
      </w:r>
      <w:r w:rsidRPr="00B514AD">
        <w:rPr>
          <w:rFonts w:ascii="Arial" w:hAnsi="Arial" w:cs="Arial"/>
          <w:color w:val="231F20"/>
        </w:rPr>
        <w:t>un total de 112.177 solicitudes de restitución de tierras.</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rPr>
        <w:t>las</w:t>
      </w:r>
      <w:r w:rsidRPr="00B514AD">
        <w:rPr>
          <w:rFonts w:ascii="Arial" w:hAnsi="Arial" w:cs="Arial"/>
          <w:color w:val="231F20"/>
          <w:spacing w:val="-11"/>
        </w:rPr>
        <w:t xml:space="preserve"> </w:t>
      </w:r>
      <w:r w:rsidRPr="00B514AD">
        <w:rPr>
          <w:rFonts w:ascii="Arial" w:hAnsi="Arial" w:cs="Arial"/>
          <w:color w:val="231F20"/>
        </w:rPr>
        <w:t>que</w:t>
      </w:r>
      <w:r w:rsidRPr="00B514AD">
        <w:rPr>
          <w:rFonts w:ascii="Arial" w:hAnsi="Arial" w:cs="Arial"/>
          <w:color w:val="231F20"/>
          <w:spacing w:val="-11"/>
        </w:rPr>
        <w:t xml:space="preserve"> </w:t>
      </w:r>
      <w:r w:rsidRPr="00B514AD">
        <w:rPr>
          <w:rFonts w:ascii="Arial" w:hAnsi="Arial" w:cs="Arial"/>
          <w:color w:val="231F20"/>
        </w:rPr>
        <w:t>iniciaron</w:t>
      </w:r>
      <w:r w:rsidRPr="00B514AD">
        <w:rPr>
          <w:rFonts w:ascii="Arial" w:hAnsi="Arial" w:cs="Arial"/>
          <w:color w:val="231F20"/>
          <w:spacing w:val="-11"/>
        </w:rPr>
        <w:t xml:space="preserve"> </w:t>
      </w:r>
      <w:r w:rsidRPr="00B514AD">
        <w:rPr>
          <w:rFonts w:ascii="Arial" w:hAnsi="Arial" w:cs="Arial"/>
          <w:color w:val="231F20"/>
        </w:rPr>
        <w:t>trámite</w:t>
      </w:r>
      <w:r w:rsidRPr="00B514AD">
        <w:rPr>
          <w:rFonts w:ascii="Arial" w:hAnsi="Arial" w:cs="Arial"/>
          <w:color w:val="231F20"/>
          <w:spacing w:val="-11"/>
        </w:rPr>
        <w:t xml:space="preserve"> </w:t>
      </w:r>
      <w:r w:rsidRPr="00B514AD">
        <w:rPr>
          <w:rFonts w:ascii="Arial" w:hAnsi="Arial" w:cs="Arial"/>
          <w:color w:val="231F20"/>
        </w:rPr>
        <w:t>administrativo</w:t>
      </w:r>
      <w:r w:rsidR="00EA5CC2" w:rsidRPr="00B514AD">
        <w:rPr>
          <w:rFonts w:ascii="Arial" w:hAnsi="Arial" w:cs="Arial"/>
          <w:color w:val="231F20"/>
        </w:rPr>
        <w:t xml:space="preserve"> </w:t>
      </w:r>
      <w:r w:rsidRPr="00B514AD">
        <w:rPr>
          <w:rFonts w:ascii="Arial" w:hAnsi="Arial" w:cs="Arial"/>
          <w:color w:val="231F20"/>
        </w:rPr>
        <w:t>no superaron la etapa administrativa, negándose su inscripción en el registro, lo cual corresponde al 63% de las 21.914 solicitudes inscritas, 15.077 iniciaron etapa judicial. 6.961 de ellas cuentan con sentencia judicial y 5.639</w:t>
      </w:r>
      <w:r w:rsidRPr="00B514AD">
        <w:rPr>
          <w:rFonts w:ascii="Arial" w:hAnsi="Arial" w:cs="Arial"/>
          <w:color w:val="231F20"/>
          <w:spacing w:val="25"/>
        </w:rPr>
        <w:t xml:space="preserve"> </w:t>
      </w:r>
      <w:r w:rsidRPr="00B514AD">
        <w:rPr>
          <w:rFonts w:ascii="Arial" w:hAnsi="Arial" w:cs="Arial"/>
          <w:color w:val="231F20"/>
        </w:rPr>
        <w:t>ya</w:t>
      </w:r>
      <w:r w:rsidR="00953CE8" w:rsidRPr="00B514AD">
        <w:rPr>
          <w:rFonts w:ascii="Arial" w:hAnsi="Arial" w:cs="Arial"/>
          <w:color w:val="231F20"/>
        </w:rPr>
        <w:t xml:space="preserve"> </w:t>
      </w:r>
      <w:r w:rsidRPr="00B514AD">
        <w:rPr>
          <w:rFonts w:ascii="Arial" w:hAnsi="Arial" w:cs="Arial"/>
          <w:color w:val="231F20"/>
        </w:rPr>
        <w:t>tienen orden judicial de restitución. Las víctimas de</w:t>
      </w:r>
      <w:r w:rsidRPr="00B514AD">
        <w:rPr>
          <w:rFonts w:ascii="Arial" w:hAnsi="Arial" w:cs="Arial"/>
          <w:color w:val="231F20"/>
          <w:spacing w:val="-16"/>
        </w:rPr>
        <w:t xml:space="preserve"> </w:t>
      </w:r>
      <w:r w:rsidRPr="00B514AD">
        <w:rPr>
          <w:rFonts w:ascii="Arial" w:hAnsi="Arial" w:cs="Arial"/>
          <w:color w:val="231F20"/>
        </w:rPr>
        <w:t>despojo</w:t>
      </w:r>
      <w:r w:rsidRPr="00B514AD">
        <w:rPr>
          <w:rFonts w:ascii="Arial" w:hAnsi="Arial" w:cs="Arial"/>
          <w:color w:val="231F20"/>
          <w:spacing w:val="-16"/>
        </w:rPr>
        <w:t xml:space="preserve"> </w:t>
      </w:r>
      <w:r w:rsidRPr="00B514AD">
        <w:rPr>
          <w:rFonts w:ascii="Arial" w:hAnsi="Arial" w:cs="Arial"/>
          <w:color w:val="231F20"/>
        </w:rPr>
        <w:t>han</w:t>
      </w:r>
      <w:r w:rsidRPr="00B514AD">
        <w:rPr>
          <w:rFonts w:ascii="Arial" w:hAnsi="Arial" w:cs="Arial"/>
          <w:color w:val="231F20"/>
          <w:spacing w:val="-16"/>
        </w:rPr>
        <w:t xml:space="preserve"> </w:t>
      </w:r>
      <w:r w:rsidRPr="00B514AD">
        <w:rPr>
          <w:rFonts w:ascii="Arial" w:hAnsi="Arial" w:cs="Arial"/>
          <w:color w:val="231F20"/>
        </w:rPr>
        <w:t>llamado</w:t>
      </w:r>
      <w:r w:rsidRPr="00B514AD">
        <w:rPr>
          <w:rFonts w:ascii="Arial" w:hAnsi="Arial" w:cs="Arial"/>
          <w:color w:val="231F20"/>
          <w:spacing w:val="-16"/>
        </w:rPr>
        <w:t xml:space="preserve"> </w:t>
      </w:r>
      <w:r w:rsidRPr="00B514AD">
        <w:rPr>
          <w:rFonts w:ascii="Arial" w:hAnsi="Arial" w:cs="Arial"/>
          <w:color w:val="231F20"/>
        </w:rPr>
        <w:t>la</w:t>
      </w:r>
      <w:r w:rsidRPr="00B514AD">
        <w:rPr>
          <w:rFonts w:ascii="Arial" w:hAnsi="Arial" w:cs="Arial"/>
          <w:color w:val="231F20"/>
          <w:spacing w:val="-16"/>
        </w:rPr>
        <w:t xml:space="preserve"> </w:t>
      </w:r>
      <w:r w:rsidRPr="00B514AD">
        <w:rPr>
          <w:rFonts w:ascii="Arial" w:hAnsi="Arial" w:cs="Arial"/>
          <w:color w:val="231F20"/>
        </w:rPr>
        <w:t>atención</w:t>
      </w:r>
      <w:r w:rsidRPr="00B514AD">
        <w:rPr>
          <w:rFonts w:ascii="Arial" w:hAnsi="Arial" w:cs="Arial"/>
          <w:color w:val="231F20"/>
          <w:spacing w:val="-16"/>
        </w:rPr>
        <w:t xml:space="preserve"> </w:t>
      </w:r>
      <w:r w:rsidRPr="00B514AD">
        <w:rPr>
          <w:rFonts w:ascii="Arial" w:hAnsi="Arial" w:cs="Arial"/>
          <w:color w:val="231F20"/>
        </w:rPr>
        <w:t xml:space="preserve">reiteradamente sobre los bajos niveles de implementación de las medidas </w:t>
      </w:r>
      <w:r w:rsidR="00953CE8" w:rsidRPr="00B514AD">
        <w:rPr>
          <w:rFonts w:ascii="Arial" w:hAnsi="Arial" w:cs="Arial"/>
          <w:color w:val="231F20"/>
        </w:rPr>
        <w:t>pos fallo</w:t>
      </w:r>
      <w:r w:rsidRPr="00B514AD">
        <w:rPr>
          <w:rFonts w:ascii="Arial" w:hAnsi="Arial" w:cs="Arial"/>
          <w:color w:val="231F20"/>
        </w:rPr>
        <w:t>.</w:t>
      </w:r>
    </w:p>
    <w:p w:rsidR="00EC5F4C" w:rsidRPr="00B514AD" w:rsidRDefault="00EC5F4C" w:rsidP="00017F19">
      <w:pPr>
        <w:pStyle w:val="Textoindependiente"/>
        <w:spacing w:before="87" w:line="228" w:lineRule="auto"/>
        <w:ind w:right="39" w:firstLine="283"/>
        <w:jc w:val="both"/>
        <w:rPr>
          <w:rFonts w:ascii="Arial" w:hAnsi="Arial" w:cs="Arial"/>
        </w:rPr>
      </w:pPr>
      <w:r w:rsidRPr="00B514AD">
        <w:rPr>
          <w:rFonts w:ascii="Arial" w:hAnsi="Arial" w:cs="Arial"/>
          <w:color w:val="231F20"/>
        </w:rPr>
        <w:t>En materia de generación de ingresos la Encuesta Indicativa de Empleo de la Población Víctima adelantada por la Defensoría del Pueblo y la OIM en el año 2017 pone de presente que   el 63% de la población víctima está desempleada, que el 23% trabaja por cuenta propia, que el 4% es obrera del sector privado y el 2% obrera en el sector público. Solo el 7% es asalariado y el 1% ha accedido a un proyecto productivo.</w:t>
      </w:r>
    </w:p>
    <w:p w:rsidR="00EC5F4C" w:rsidRPr="00B514AD" w:rsidRDefault="00EC5F4C" w:rsidP="00017F19">
      <w:pPr>
        <w:pStyle w:val="Textoindependiente"/>
        <w:spacing w:before="91" w:line="228" w:lineRule="auto"/>
        <w:ind w:right="39" w:firstLine="283"/>
        <w:jc w:val="both"/>
        <w:rPr>
          <w:rFonts w:ascii="Arial" w:hAnsi="Arial" w:cs="Arial"/>
        </w:rPr>
      </w:pPr>
      <w:r w:rsidRPr="00B514AD">
        <w:rPr>
          <w:rFonts w:ascii="Arial" w:hAnsi="Arial" w:cs="Arial"/>
          <w:color w:val="231F20"/>
        </w:rPr>
        <w:t>En lo relacionado con el derecho a la vivienda el déficit habitacional ascendió en 2017 a 3,27 millones de hogares colombianos. En esta cifra</w:t>
      </w:r>
      <w:r w:rsidRPr="00B514AD">
        <w:rPr>
          <w:rFonts w:ascii="Arial" w:hAnsi="Arial" w:cs="Arial"/>
          <w:color w:val="231F20"/>
          <w:spacing w:val="-22"/>
        </w:rPr>
        <w:t xml:space="preserve"> </w:t>
      </w:r>
      <w:r w:rsidRPr="00B514AD">
        <w:rPr>
          <w:rFonts w:ascii="Arial" w:hAnsi="Arial" w:cs="Arial"/>
          <w:color w:val="231F20"/>
        </w:rPr>
        <w:t>se suman</w:t>
      </w:r>
      <w:r w:rsidRPr="00B514AD">
        <w:rPr>
          <w:rFonts w:ascii="Arial" w:hAnsi="Arial" w:cs="Arial"/>
          <w:color w:val="231F20"/>
          <w:spacing w:val="-19"/>
        </w:rPr>
        <w:t xml:space="preserve"> </w:t>
      </w:r>
      <w:r w:rsidRPr="00B514AD">
        <w:rPr>
          <w:rFonts w:ascii="Arial" w:hAnsi="Arial" w:cs="Arial"/>
          <w:color w:val="231F20"/>
        </w:rPr>
        <w:t>el</w:t>
      </w:r>
      <w:r w:rsidRPr="00B514AD">
        <w:rPr>
          <w:rFonts w:ascii="Arial" w:hAnsi="Arial" w:cs="Arial"/>
          <w:color w:val="231F20"/>
          <w:spacing w:val="-18"/>
        </w:rPr>
        <w:t xml:space="preserve"> </w:t>
      </w:r>
      <w:r w:rsidRPr="00B514AD">
        <w:rPr>
          <w:rFonts w:ascii="Arial" w:hAnsi="Arial" w:cs="Arial"/>
          <w:color w:val="231F20"/>
        </w:rPr>
        <w:t>déficit</w:t>
      </w:r>
      <w:r w:rsidRPr="00B514AD">
        <w:rPr>
          <w:rFonts w:ascii="Arial" w:hAnsi="Arial" w:cs="Arial"/>
          <w:color w:val="231F20"/>
          <w:spacing w:val="-18"/>
        </w:rPr>
        <w:t xml:space="preserve"> </w:t>
      </w:r>
      <w:r w:rsidRPr="00B514AD">
        <w:rPr>
          <w:rFonts w:ascii="Arial" w:hAnsi="Arial" w:cs="Arial"/>
          <w:color w:val="231F20"/>
        </w:rPr>
        <w:t>cuantitativo</w:t>
      </w:r>
      <w:r w:rsidRPr="00B514AD">
        <w:rPr>
          <w:rFonts w:ascii="Arial" w:hAnsi="Arial" w:cs="Arial"/>
          <w:color w:val="231F20"/>
          <w:spacing w:val="-18"/>
        </w:rPr>
        <w:t xml:space="preserve"> </w:t>
      </w:r>
      <w:r w:rsidRPr="00B514AD">
        <w:rPr>
          <w:rFonts w:ascii="Arial" w:hAnsi="Arial" w:cs="Arial"/>
          <w:color w:val="231F20"/>
        </w:rPr>
        <w:t>tanto</w:t>
      </w:r>
      <w:r w:rsidRPr="00B514AD">
        <w:rPr>
          <w:rFonts w:ascii="Arial" w:hAnsi="Arial" w:cs="Arial"/>
          <w:color w:val="231F20"/>
          <w:spacing w:val="-18"/>
        </w:rPr>
        <w:t xml:space="preserve"> </w:t>
      </w:r>
      <w:r w:rsidRPr="00B514AD">
        <w:rPr>
          <w:rFonts w:ascii="Arial" w:hAnsi="Arial" w:cs="Arial"/>
          <w:color w:val="231F20"/>
        </w:rPr>
        <w:t>en</w:t>
      </w:r>
      <w:r w:rsidRPr="00B514AD">
        <w:rPr>
          <w:rFonts w:ascii="Arial" w:hAnsi="Arial" w:cs="Arial"/>
          <w:color w:val="231F20"/>
          <w:spacing w:val="-18"/>
        </w:rPr>
        <w:t xml:space="preserve"> </w:t>
      </w:r>
      <w:r w:rsidRPr="00B514AD">
        <w:rPr>
          <w:rFonts w:ascii="Arial" w:hAnsi="Arial" w:cs="Arial"/>
          <w:color w:val="231F20"/>
        </w:rPr>
        <w:t>lo</w:t>
      </w:r>
      <w:r w:rsidRPr="00B514AD">
        <w:rPr>
          <w:rFonts w:ascii="Arial" w:hAnsi="Arial" w:cs="Arial"/>
          <w:color w:val="231F20"/>
          <w:spacing w:val="-18"/>
        </w:rPr>
        <w:t xml:space="preserve"> </w:t>
      </w:r>
      <w:r w:rsidRPr="00B514AD">
        <w:rPr>
          <w:rFonts w:ascii="Arial" w:hAnsi="Arial" w:cs="Arial"/>
          <w:color w:val="231F20"/>
        </w:rPr>
        <w:t>rural</w:t>
      </w:r>
      <w:r w:rsidRPr="00B514AD">
        <w:rPr>
          <w:rFonts w:ascii="Arial" w:hAnsi="Arial" w:cs="Arial"/>
          <w:color w:val="231F20"/>
          <w:spacing w:val="-18"/>
        </w:rPr>
        <w:t xml:space="preserve"> </w:t>
      </w:r>
      <w:r w:rsidRPr="00B514AD">
        <w:rPr>
          <w:rFonts w:ascii="Arial" w:hAnsi="Arial" w:cs="Arial"/>
          <w:color w:val="231F20"/>
        </w:rPr>
        <w:t xml:space="preserve">como en lo urbano. Adicionalmente, unos 1.5 millones de hogares colombianos necesitan mejoramiento de vivienda. Respecto a estos últimos, 26,82% </w:t>
      </w:r>
      <w:r w:rsidR="000174D2" w:rsidRPr="00B514AD">
        <w:rPr>
          <w:rFonts w:ascii="Arial" w:hAnsi="Arial" w:cs="Arial"/>
          <w:color w:val="231F20"/>
        </w:rPr>
        <w:t>registraron carencias en acueducto, 20</w:t>
      </w:r>
      <w:r w:rsidRPr="00B514AD">
        <w:rPr>
          <w:rFonts w:ascii="Arial" w:hAnsi="Arial" w:cs="Arial"/>
          <w:color w:val="231F20"/>
        </w:rPr>
        <w:t>,80</w:t>
      </w:r>
      <w:r w:rsidR="000174D2" w:rsidRPr="00B514AD">
        <w:rPr>
          <w:rFonts w:ascii="Arial" w:hAnsi="Arial" w:cs="Arial"/>
          <w:color w:val="231F20"/>
        </w:rPr>
        <w:t>% en</w:t>
      </w:r>
      <w:r w:rsidRPr="00B514AD">
        <w:rPr>
          <w:rFonts w:ascii="Arial" w:hAnsi="Arial" w:cs="Arial"/>
          <w:color w:val="231F20"/>
        </w:rPr>
        <w:t xml:space="preserve"> servicio de sanitario, 11,89</w:t>
      </w:r>
      <w:r w:rsidR="000174D2" w:rsidRPr="00B514AD">
        <w:rPr>
          <w:rFonts w:ascii="Arial" w:hAnsi="Arial" w:cs="Arial"/>
          <w:color w:val="231F20"/>
        </w:rPr>
        <w:t>% en estructura</w:t>
      </w:r>
      <w:r w:rsidRPr="00B514AD">
        <w:rPr>
          <w:rFonts w:ascii="Arial" w:hAnsi="Arial" w:cs="Arial"/>
          <w:color w:val="231F20"/>
        </w:rPr>
        <w:t xml:space="preserve"> de pisos, 7,63% en cocina y el 7,88% reportó hacinamiento mitigable.</w:t>
      </w:r>
    </w:p>
    <w:p w:rsidR="00EC5F4C" w:rsidRPr="00B514AD" w:rsidRDefault="00EC5F4C" w:rsidP="00017F19">
      <w:pPr>
        <w:pStyle w:val="Textoindependiente"/>
        <w:spacing w:before="91" w:line="228" w:lineRule="auto"/>
        <w:ind w:right="39" w:firstLine="283"/>
        <w:jc w:val="both"/>
        <w:rPr>
          <w:rFonts w:ascii="Arial" w:hAnsi="Arial" w:cs="Arial"/>
        </w:rPr>
      </w:pPr>
      <w:r w:rsidRPr="00B514AD">
        <w:rPr>
          <w:rFonts w:ascii="Arial" w:hAnsi="Arial" w:cs="Arial"/>
          <w:color w:val="231F20"/>
        </w:rPr>
        <w:t>Cerca de 1,2 millones de hogares habitaban asentamientos humanos de desarrollo</w:t>
      </w:r>
      <w:r w:rsidRPr="00B514AD">
        <w:rPr>
          <w:rFonts w:ascii="Arial" w:hAnsi="Arial" w:cs="Arial"/>
          <w:color w:val="231F20"/>
          <w:spacing w:val="-24"/>
        </w:rPr>
        <w:t xml:space="preserve"> </w:t>
      </w:r>
      <w:r w:rsidRPr="00B514AD">
        <w:rPr>
          <w:rFonts w:ascii="Arial" w:hAnsi="Arial" w:cs="Arial"/>
          <w:color w:val="231F20"/>
        </w:rPr>
        <w:t>incompleto, que corresponden a barrios marginales con múltiples precariedades jurídicas (seguridad jurídica en los títulos de propiedad o de</w:t>
      </w:r>
      <w:r w:rsidRPr="00B514AD">
        <w:rPr>
          <w:rFonts w:ascii="Arial" w:hAnsi="Arial" w:cs="Arial"/>
          <w:color w:val="231F20"/>
          <w:spacing w:val="-25"/>
        </w:rPr>
        <w:t xml:space="preserve"> </w:t>
      </w:r>
      <w:r w:rsidRPr="00B514AD">
        <w:rPr>
          <w:rFonts w:ascii="Arial" w:hAnsi="Arial" w:cs="Arial"/>
          <w:color w:val="231F20"/>
        </w:rPr>
        <w:t>tenencia), fragilidades físicas de distinta naturaleza, ubicación en zonas de riesgo y entornos con múltiples</w:t>
      </w:r>
      <w:r w:rsidRPr="00B514AD">
        <w:rPr>
          <w:rFonts w:ascii="Arial" w:hAnsi="Arial" w:cs="Arial"/>
          <w:color w:val="231F20"/>
          <w:spacing w:val="-1"/>
        </w:rPr>
        <w:t xml:space="preserve"> </w:t>
      </w:r>
      <w:r w:rsidRPr="00B514AD">
        <w:rPr>
          <w:rFonts w:ascii="Arial" w:hAnsi="Arial" w:cs="Arial"/>
          <w:color w:val="231F20"/>
        </w:rPr>
        <w:t>dificultades.</w:t>
      </w:r>
    </w:p>
    <w:p w:rsidR="00EC5F4C" w:rsidRPr="00B514AD" w:rsidRDefault="00EC5F4C" w:rsidP="00953CE8">
      <w:pPr>
        <w:pStyle w:val="Textoindependiente"/>
        <w:spacing w:before="90" w:line="228" w:lineRule="auto"/>
        <w:ind w:right="39" w:firstLine="283"/>
        <w:jc w:val="both"/>
        <w:rPr>
          <w:rFonts w:ascii="Arial" w:hAnsi="Arial" w:cs="Arial"/>
          <w:i/>
        </w:rPr>
      </w:pPr>
      <w:r w:rsidRPr="00B514AD">
        <w:rPr>
          <w:rFonts w:ascii="Arial" w:hAnsi="Arial" w:cs="Arial"/>
          <w:color w:val="231F20"/>
        </w:rPr>
        <w:t>Para población desplazada se asignaron y escrituraron 33.572 viviendas nuevas totalmente subsidiadas. Según los</w:t>
      </w:r>
      <w:r w:rsidRPr="00B514AD">
        <w:rPr>
          <w:rFonts w:ascii="Arial" w:hAnsi="Arial" w:cs="Arial"/>
          <w:color w:val="231F20"/>
          <w:spacing w:val="-46"/>
        </w:rPr>
        <w:t xml:space="preserve"> </w:t>
      </w:r>
      <w:r w:rsidRPr="00B514AD">
        <w:rPr>
          <w:rFonts w:ascii="Arial" w:hAnsi="Arial" w:cs="Arial"/>
          <w:color w:val="231F20"/>
        </w:rPr>
        <w:t>Autos 008 de 2009, 383 de</w:t>
      </w:r>
      <w:r w:rsidR="00953CE8" w:rsidRPr="00B514AD">
        <w:rPr>
          <w:rFonts w:ascii="Arial" w:hAnsi="Arial" w:cs="Arial"/>
          <w:color w:val="231F20"/>
        </w:rPr>
        <w:t xml:space="preserve"> </w:t>
      </w:r>
      <w:r w:rsidRPr="00B514AD">
        <w:rPr>
          <w:rFonts w:ascii="Arial" w:hAnsi="Arial" w:cs="Arial"/>
          <w:color w:val="231F20"/>
        </w:rPr>
        <w:t>2010,</w:t>
      </w:r>
      <w:r w:rsidRPr="00B514AD">
        <w:rPr>
          <w:rFonts w:ascii="Arial" w:hAnsi="Arial" w:cs="Arial"/>
          <w:color w:val="231F20"/>
          <w:spacing w:val="-25"/>
        </w:rPr>
        <w:t xml:space="preserve"> </w:t>
      </w:r>
      <w:r w:rsidRPr="00B514AD">
        <w:rPr>
          <w:rFonts w:ascii="Arial" w:hAnsi="Arial" w:cs="Arial"/>
          <w:color w:val="231F20"/>
        </w:rPr>
        <w:t>y</w:t>
      </w:r>
      <w:r w:rsidRPr="00B514AD">
        <w:rPr>
          <w:rFonts w:ascii="Arial" w:hAnsi="Arial" w:cs="Arial"/>
          <w:color w:val="231F20"/>
          <w:spacing w:val="-24"/>
        </w:rPr>
        <w:t xml:space="preserve"> </w:t>
      </w:r>
      <w:r w:rsidRPr="00B514AD">
        <w:rPr>
          <w:rFonts w:ascii="Arial" w:hAnsi="Arial" w:cs="Arial"/>
          <w:color w:val="231F20"/>
        </w:rPr>
        <w:t>219</w:t>
      </w:r>
      <w:r w:rsidRPr="00B514AD">
        <w:rPr>
          <w:rFonts w:ascii="Arial" w:hAnsi="Arial" w:cs="Arial"/>
          <w:color w:val="231F20"/>
          <w:spacing w:val="-25"/>
        </w:rPr>
        <w:t xml:space="preserve"> </w:t>
      </w:r>
      <w:r w:rsidRPr="00B514AD">
        <w:rPr>
          <w:rFonts w:ascii="Arial" w:hAnsi="Arial" w:cs="Arial"/>
          <w:color w:val="231F20"/>
        </w:rPr>
        <w:t>de</w:t>
      </w:r>
      <w:r w:rsidRPr="00B514AD">
        <w:rPr>
          <w:rFonts w:ascii="Arial" w:hAnsi="Arial" w:cs="Arial"/>
          <w:color w:val="231F20"/>
          <w:spacing w:val="-24"/>
        </w:rPr>
        <w:t xml:space="preserve"> </w:t>
      </w:r>
      <w:r w:rsidRPr="00B514AD">
        <w:rPr>
          <w:rFonts w:ascii="Arial" w:hAnsi="Arial" w:cs="Arial"/>
          <w:color w:val="231F20"/>
        </w:rPr>
        <w:t>2011,</w:t>
      </w:r>
      <w:r w:rsidRPr="00B514AD">
        <w:rPr>
          <w:rFonts w:ascii="Arial" w:hAnsi="Arial" w:cs="Arial"/>
          <w:color w:val="231F20"/>
          <w:spacing w:val="-25"/>
        </w:rPr>
        <w:t xml:space="preserve"> </w:t>
      </w:r>
      <w:r w:rsidRPr="00B514AD">
        <w:rPr>
          <w:rFonts w:ascii="Arial" w:hAnsi="Arial" w:cs="Arial"/>
          <w:color w:val="231F20"/>
        </w:rPr>
        <w:t>el</w:t>
      </w:r>
      <w:r w:rsidRPr="00B514AD">
        <w:rPr>
          <w:rFonts w:ascii="Arial" w:hAnsi="Arial" w:cs="Arial"/>
          <w:color w:val="231F20"/>
          <w:spacing w:val="-23"/>
        </w:rPr>
        <w:t xml:space="preserve"> </w:t>
      </w:r>
      <w:r w:rsidRPr="00B514AD">
        <w:rPr>
          <w:rFonts w:ascii="Arial" w:hAnsi="Arial" w:cs="Arial"/>
          <w:i/>
          <w:color w:val="231F20"/>
        </w:rPr>
        <w:t>“acceso</w:t>
      </w:r>
      <w:r w:rsidRPr="00B514AD">
        <w:rPr>
          <w:rFonts w:ascii="Arial" w:hAnsi="Arial" w:cs="Arial"/>
          <w:i/>
          <w:color w:val="231F20"/>
          <w:spacing w:val="-24"/>
        </w:rPr>
        <w:t xml:space="preserve"> </w:t>
      </w:r>
      <w:r w:rsidRPr="00B514AD">
        <w:rPr>
          <w:rFonts w:ascii="Arial" w:hAnsi="Arial" w:cs="Arial"/>
          <w:color w:val="231F20"/>
        </w:rPr>
        <w:t>a</w:t>
      </w:r>
      <w:r w:rsidRPr="00B514AD">
        <w:rPr>
          <w:rFonts w:ascii="Arial" w:hAnsi="Arial" w:cs="Arial"/>
          <w:color w:val="231F20"/>
          <w:spacing w:val="-24"/>
        </w:rPr>
        <w:t xml:space="preserve"> </w:t>
      </w:r>
      <w:r w:rsidRPr="00B514AD">
        <w:rPr>
          <w:rFonts w:ascii="Arial" w:hAnsi="Arial" w:cs="Arial"/>
          <w:i/>
          <w:color w:val="231F20"/>
        </w:rPr>
        <w:t>la</w:t>
      </w:r>
      <w:r w:rsidRPr="00B514AD">
        <w:rPr>
          <w:rFonts w:ascii="Arial" w:hAnsi="Arial" w:cs="Arial"/>
          <w:i/>
          <w:color w:val="231F20"/>
          <w:spacing w:val="-23"/>
        </w:rPr>
        <w:t xml:space="preserve"> </w:t>
      </w:r>
      <w:r w:rsidRPr="00B514AD">
        <w:rPr>
          <w:rFonts w:ascii="Arial" w:hAnsi="Arial" w:cs="Arial"/>
          <w:i/>
          <w:color w:val="231F20"/>
        </w:rPr>
        <w:t>vivienda</w:t>
      </w:r>
      <w:r w:rsidRPr="00B514AD">
        <w:rPr>
          <w:rFonts w:ascii="Arial" w:hAnsi="Arial" w:cs="Arial"/>
          <w:i/>
          <w:color w:val="231F20"/>
          <w:spacing w:val="-25"/>
        </w:rPr>
        <w:t xml:space="preserve"> </w:t>
      </w:r>
      <w:r w:rsidRPr="00B514AD">
        <w:rPr>
          <w:rFonts w:ascii="Arial" w:hAnsi="Arial" w:cs="Arial"/>
          <w:i/>
          <w:color w:val="231F20"/>
        </w:rPr>
        <w:t xml:space="preserve">digna no </w:t>
      </w:r>
      <w:r w:rsidRPr="00B514AD">
        <w:rPr>
          <w:rFonts w:ascii="Arial" w:hAnsi="Arial" w:cs="Arial"/>
          <w:color w:val="231F20"/>
        </w:rPr>
        <w:t xml:space="preserve">se </w:t>
      </w:r>
      <w:r w:rsidRPr="00B514AD">
        <w:rPr>
          <w:rFonts w:ascii="Arial" w:hAnsi="Arial" w:cs="Arial"/>
          <w:i/>
          <w:color w:val="231F20"/>
          <w:spacing w:val="-3"/>
        </w:rPr>
        <w:t xml:space="preserve">refiere </w:t>
      </w:r>
      <w:r w:rsidRPr="00B514AD">
        <w:rPr>
          <w:rFonts w:ascii="Arial" w:hAnsi="Arial" w:cs="Arial"/>
          <w:i/>
          <w:color w:val="231F20"/>
        </w:rPr>
        <w:t xml:space="preserve">exclusivamente </w:t>
      </w:r>
      <w:r w:rsidRPr="00B514AD">
        <w:rPr>
          <w:rFonts w:ascii="Arial" w:hAnsi="Arial" w:cs="Arial"/>
          <w:color w:val="231F20"/>
        </w:rPr>
        <w:t xml:space="preserve">a </w:t>
      </w:r>
      <w:r w:rsidRPr="00B514AD">
        <w:rPr>
          <w:rFonts w:ascii="Arial" w:hAnsi="Arial" w:cs="Arial"/>
          <w:i/>
          <w:color w:val="231F20"/>
        </w:rPr>
        <w:t xml:space="preserve">la financiación de la propiedad </w:t>
      </w:r>
      <w:r w:rsidRPr="00B514AD">
        <w:rPr>
          <w:rFonts w:ascii="Arial" w:hAnsi="Arial" w:cs="Arial"/>
          <w:i/>
          <w:color w:val="231F20"/>
          <w:spacing w:val="-3"/>
        </w:rPr>
        <w:t xml:space="preserve">sobre </w:t>
      </w:r>
      <w:r w:rsidRPr="00B514AD">
        <w:rPr>
          <w:rFonts w:ascii="Arial" w:hAnsi="Arial" w:cs="Arial"/>
          <w:i/>
          <w:color w:val="231F20"/>
        </w:rPr>
        <w:t xml:space="preserve">la vivienda, sino que debe entenderse como un bien familiar que </w:t>
      </w:r>
      <w:r w:rsidRPr="00B514AD">
        <w:rPr>
          <w:rFonts w:ascii="Arial" w:hAnsi="Arial" w:cs="Arial"/>
          <w:i/>
          <w:color w:val="231F20"/>
          <w:spacing w:val="-3"/>
        </w:rPr>
        <w:t>requiere</w:t>
      </w:r>
      <w:r w:rsidRPr="00B514AD">
        <w:rPr>
          <w:rFonts w:ascii="Arial" w:hAnsi="Arial" w:cs="Arial"/>
          <w:i/>
          <w:color w:val="231F20"/>
          <w:spacing w:val="-16"/>
        </w:rPr>
        <w:t xml:space="preserve"> </w:t>
      </w:r>
      <w:r w:rsidRPr="00B514AD">
        <w:rPr>
          <w:rFonts w:ascii="Arial" w:hAnsi="Arial" w:cs="Arial"/>
          <w:i/>
          <w:color w:val="231F20"/>
        </w:rPr>
        <w:t>un espacio determinado, en el cual se desarrollan y realizan los procesos propios de la</w:t>
      </w:r>
      <w:r w:rsidRPr="00B514AD">
        <w:rPr>
          <w:rFonts w:ascii="Arial" w:hAnsi="Arial" w:cs="Arial"/>
          <w:i/>
          <w:color w:val="231F20"/>
          <w:spacing w:val="-20"/>
        </w:rPr>
        <w:t xml:space="preserve"> </w:t>
      </w:r>
      <w:r w:rsidRPr="00B514AD">
        <w:rPr>
          <w:rFonts w:ascii="Arial" w:hAnsi="Arial" w:cs="Arial"/>
          <w:i/>
          <w:color w:val="231F20"/>
        </w:rPr>
        <w:t>sociedad”.</w:t>
      </w:r>
    </w:p>
    <w:p w:rsidR="00EC5F4C" w:rsidRPr="00B514AD" w:rsidRDefault="00EC5F4C" w:rsidP="00017F19">
      <w:pPr>
        <w:pStyle w:val="Textoindependiente"/>
        <w:spacing w:before="89" w:line="228" w:lineRule="auto"/>
        <w:ind w:left="154" w:right="39" w:firstLine="283"/>
        <w:jc w:val="both"/>
        <w:rPr>
          <w:rFonts w:ascii="Arial" w:hAnsi="Arial" w:cs="Arial"/>
        </w:rPr>
      </w:pPr>
      <w:r w:rsidRPr="00B514AD">
        <w:rPr>
          <w:rFonts w:ascii="Arial" w:hAnsi="Arial" w:cs="Arial"/>
          <w:color w:val="231F20"/>
        </w:rPr>
        <w:t>En este sentido, existía una demanda por atender de 143.412 hogares desplazados, frente   a una oferta de 41.418 durante el cuatrienio anterior. Es decir, la cobertura del programa frente a la demanda estaba planeada para el 23% de la demanda. A pesar de que la meta planteada se sobrepasó, todavía existe una demanda significativa que se incrementa con los nuevos desplazamientos.</w:t>
      </w:r>
    </w:p>
    <w:p w:rsidR="00EC5F4C" w:rsidRPr="00B514AD" w:rsidRDefault="00EC5F4C" w:rsidP="00953CE8">
      <w:pPr>
        <w:pStyle w:val="Textoindependiente"/>
        <w:spacing w:before="90" w:line="228" w:lineRule="auto"/>
        <w:ind w:right="39" w:firstLine="283"/>
        <w:jc w:val="both"/>
        <w:rPr>
          <w:rFonts w:ascii="Arial" w:hAnsi="Arial" w:cs="Arial"/>
        </w:rPr>
      </w:pPr>
      <w:r w:rsidRPr="00B514AD">
        <w:rPr>
          <w:rFonts w:ascii="Arial" w:hAnsi="Arial" w:cs="Arial"/>
          <w:color w:val="231F20"/>
        </w:rPr>
        <w:t>En el quinto informe de la Comisión de Seguimiento y Monitoreo a la Implementación</w:t>
      </w:r>
      <w:r w:rsidRPr="00B514AD">
        <w:rPr>
          <w:rFonts w:ascii="Arial" w:hAnsi="Arial" w:cs="Arial"/>
          <w:color w:val="231F20"/>
          <w:spacing w:val="-6"/>
        </w:rPr>
        <w:t xml:space="preserve"> </w:t>
      </w:r>
      <w:r w:rsidRPr="00B514AD">
        <w:rPr>
          <w:rFonts w:ascii="Arial" w:hAnsi="Arial" w:cs="Arial"/>
          <w:color w:val="231F20"/>
        </w:rPr>
        <w:t>de la</w:t>
      </w:r>
      <w:r w:rsidRPr="00B514AD">
        <w:rPr>
          <w:rFonts w:ascii="Arial" w:hAnsi="Arial" w:cs="Arial"/>
          <w:color w:val="231F20"/>
          <w:spacing w:val="-29"/>
        </w:rPr>
        <w:t xml:space="preserve"> </w:t>
      </w:r>
      <w:r w:rsidRPr="00B514AD">
        <w:rPr>
          <w:rFonts w:ascii="Arial" w:hAnsi="Arial" w:cs="Arial"/>
          <w:color w:val="231F20"/>
        </w:rPr>
        <w:t>Ley</w:t>
      </w:r>
      <w:r w:rsidRPr="00B514AD">
        <w:rPr>
          <w:rFonts w:ascii="Arial" w:hAnsi="Arial" w:cs="Arial"/>
          <w:color w:val="231F20"/>
          <w:spacing w:val="-29"/>
        </w:rPr>
        <w:t xml:space="preserve"> </w:t>
      </w:r>
      <w:r w:rsidRPr="00B514AD">
        <w:rPr>
          <w:rFonts w:ascii="Arial" w:hAnsi="Arial" w:cs="Arial"/>
          <w:color w:val="231F20"/>
        </w:rPr>
        <w:t>1448</w:t>
      </w:r>
      <w:r w:rsidRPr="00B514AD">
        <w:rPr>
          <w:rFonts w:ascii="Arial" w:hAnsi="Arial" w:cs="Arial"/>
          <w:color w:val="231F20"/>
          <w:spacing w:val="-29"/>
        </w:rPr>
        <w:t xml:space="preserve"> </w:t>
      </w:r>
      <w:r w:rsidRPr="00B514AD">
        <w:rPr>
          <w:rFonts w:ascii="Arial" w:hAnsi="Arial" w:cs="Arial"/>
          <w:color w:val="231F20"/>
        </w:rPr>
        <w:t>de</w:t>
      </w:r>
      <w:r w:rsidRPr="00B514AD">
        <w:rPr>
          <w:rFonts w:ascii="Arial" w:hAnsi="Arial" w:cs="Arial"/>
          <w:color w:val="231F20"/>
          <w:spacing w:val="-28"/>
        </w:rPr>
        <w:t xml:space="preserve"> </w:t>
      </w:r>
      <w:r w:rsidRPr="00B514AD">
        <w:rPr>
          <w:rFonts w:ascii="Arial" w:hAnsi="Arial" w:cs="Arial"/>
          <w:color w:val="231F20"/>
          <w:spacing w:val="-3"/>
        </w:rPr>
        <w:t>2011</w:t>
      </w:r>
      <w:r w:rsidRPr="00B514AD">
        <w:rPr>
          <w:rFonts w:ascii="Arial" w:hAnsi="Arial" w:cs="Arial"/>
          <w:color w:val="231F20"/>
          <w:spacing w:val="-29"/>
        </w:rPr>
        <w:t xml:space="preserve"> </w:t>
      </w:r>
      <w:r w:rsidRPr="00B514AD">
        <w:rPr>
          <w:rFonts w:ascii="Arial" w:hAnsi="Arial" w:cs="Arial"/>
          <w:color w:val="231F20"/>
          <w:spacing w:val="6"/>
        </w:rPr>
        <w:t>se</w:t>
      </w:r>
      <w:r w:rsidR="00953CE8" w:rsidRPr="00B514AD">
        <w:rPr>
          <w:rFonts w:ascii="Arial" w:hAnsi="Arial" w:cs="Arial"/>
          <w:color w:val="231F20"/>
          <w:spacing w:val="6"/>
        </w:rPr>
        <w:t xml:space="preserve"> </w:t>
      </w:r>
      <w:r w:rsidRPr="00B514AD">
        <w:rPr>
          <w:rFonts w:ascii="Arial" w:hAnsi="Arial" w:cs="Arial"/>
          <w:color w:val="231F20"/>
          <w:spacing w:val="6"/>
        </w:rPr>
        <w:t>plantea</w:t>
      </w:r>
      <w:r w:rsidR="00953CE8" w:rsidRPr="00B514AD">
        <w:rPr>
          <w:rFonts w:ascii="Arial" w:hAnsi="Arial" w:cs="Arial"/>
          <w:color w:val="231F20"/>
          <w:spacing w:val="6"/>
        </w:rPr>
        <w:t xml:space="preserve"> </w:t>
      </w:r>
      <w:r w:rsidRPr="00B514AD">
        <w:rPr>
          <w:rFonts w:ascii="Arial" w:hAnsi="Arial" w:cs="Arial"/>
          <w:color w:val="231F20"/>
          <w:spacing w:val="6"/>
        </w:rPr>
        <w:t>que</w:t>
      </w:r>
      <w:r w:rsidR="00953CE8" w:rsidRPr="00B514AD">
        <w:rPr>
          <w:rFonts w:ascii="Arial" w:hAnsi="Arial" w:cs="Arial"/>
          <w:color w:val="231F20"/>
          <w:spacing w:val="6"/>
        </w:rPr>
        <w:t xml:space="preserve"> </w:t>
      </w:r>
      <w:r w:rsidRPr="00B514AD">
        <w:rPr>
          <w:rFonts w:ascii="Arial" w:hAnsi="Arial" w:cs="Arial"/>
          <w:color w:val="231F20"/>
          <w:spacing w:val="6"/>
        </w:rPr>
        <w:t>entre</w:t>
      </w:r>
      <w:r w:rsidR="00953CE8" w:rsidRPr="00B514AD">
        <w:rPr>
          <w:rFonts w:ascii="Arial" w:hAnsi="Arial" w:cs="Arial"/>
          <w:color w:val="231F20"/>
          <w:spacing w:val="6"/>
        </w:rPr>
        <w:t xml:space="preserve"> </w:t>
      </w:r>
      <w:r w:rsidRPr="00B514AD">
        <w:rPr>
          <w:rFonts w:ascii="Arial" w:hAnsi="Arial" w:cs="Arial"/>
          <w:color w:val="231F20"/>
          <w:spacing w:val="6"/>
        </w:rPr>
        <w:t>el</w:t>
      </w:r>
      <w:r w:rsidR="00953CE8" w:rsidRPr="00B514AD">
        <w:rPr>
          <w:rFonts w:ascii="Arial" w:hAnsi="Arial" w:cs="Arial"/>
          <w:color w:val="231F20"/>
          <w:spacing w:val="6"/>
        </w:rPr>
        <w:t xml:space="preserve"> </w:t>
      </w:r>
      <w:r w:rsidRPr="00B514AD">
        <w:rPr>
          <w:rFonts w:ascii="Arial" w:hAnsi="Arial" w:cs="Arial"/>
          <w:color w:val="231F20"/>
          <w:spacing w:val="6"/>
        </w:rPr>
        <w:t>año</w:t>
      </w:r>
      <w:r w:rsidRPr="00B514AD">
        <w:rPr>
          <w:rFonts w:ascii="Arial" w:hAnsi="Arial" w:cs="Arial"/>
          <w:color w:val="231F20"/>
          <w:spacing w:val="-29"/>
        </w:rPr>
        <w:t xml:space="preserve"> </w:t>
      </w:r>
      <w:r w:rsidRPr="00B514AD">
        <w:rPr>
          <w:rFonts w:ascii="Arial" w:hAnsi="Arial" w:cs="Arial"/>
          <w:color w:val="231F20"/>
        </w:rPr>
        <w:t xml:space="preserve">2015 y 2018 </w:t>
      </w:r>
      <w:r w:rsidRPr="00B514AD">
        <w:rPr>
          <w:rFonts w:ascii="Arial" w:hAnsi="Arial" w:cs="Arial"/>
          <w:color w:val="231F20"/>
        </w:rPr>
        <w:lastRenderedPageBreak/>
        <w:t xml:space="preserve">se entregaron indemnizaciones a 311.479 personas, y </w:t>
      </w:r>
      <w:r w:rsidR="000174D2" w:rsidRPr="00B514AD">
        <w:rPr>
          <w:rFonts w:ascii="Arial" w:hAnsi="Arial" w:cs="Arial"/>
          <w:color w:val="231F20"/>
        </w:rPr>
        <w:t>que,</w:t>
      </w:r>
      <w:r w:rsidRPr="00B514AD">
        <w:rPr>
          <w:rFonts w:ascii="Arial" w:hAnsi="Arial" w:cs="Arial"/>
          <w:color w:val="231F20"/>
        </w:rPr>
        <w:t xml:space="preserve"> en los últimos 10 años, teniendo en cuenta marcos normativos diferentes a la Ley 1448,</w:t>
      </w:r>
      <w:r w:rsidRPr="00B514AD">
        <w:rPr>
          <w:rFonts w:ascii="Arial" w:hAnsi="Arial" w:cs="Arial"/>
          <w:color w:val="231F20"/>
          <w:spacing w:val="-16"/>
        </w:rPr>
        <w:t xml:space="preserve"> </w:t>
      </w:r>
      <w:r w:rsidRPr="00B514AD">
        <w:rPr>
          <w:rFonts w:ascii="Arial" w:hAnsi="Arial" w:cs="Arial"/>
          <w:color w:val="231F20"/>
        </w:rPr>
        <w:t>se</w:t>
      </w:r>
      <w:r w:rsidRPr="00B514AD">
        <w:rPr>
          <w:rFonts w:ascii="Arial" w:hAnsi="Arial" w:cs="Arial"/>
          <w:color w:val="231F20"/>
          <w:spacing w:val="-17"/>
        </w:rPr>
        <w:t xml:space="preserve"> </w:t>
      </w:r>
      <w:r w:rsidRPr="00B514AD">
        <w:rPr>
          <w:rFonts w:ascii="Arial" w:hAnsi="Arial" w:cs="Arial"/>
          <w:color w:val="231F20"/>
        </w:rPr>
        <w:t>han</w:t>
      </w:r>
      <w:r w:rsidRPr="00B514AD">
        <w:rPr>
          <w:rFonts w:ascii="Arial" w:hAnsi="Arial" w:cs="Arial"/>
          <w:color w:val="231F20"/>
          <w:spacing w:val="-16"/>
        </w:rPr>
        <w:t xml:space="preserve"> </w:t>
      </w:r>
      <w:r w:rsidRPr="00B514AD">
        <w:rPr>
          <w:rFonts w:ascii="Arial" w:hAnsi="Arial" w:cs="Arial"/>
          <w:color w:val="231F20"/>
        </w:rPr>
        <w:t>reconocido</w:t>
      </w:r>
      <w:r w:rsidRPr="00B514AD">
        <w:rPr>
          <w:rFonts w:ascii="Arial" w:hAnsi="Arial" w:cs="Arial"/>
          <w:color w:val="231F20"/>
          <w:spacing w:val="-16"/>
        </w:rPr>
        <w:t xml:space="preserve"> </w:t>
      </w:r>
      <w:r w:rsidRPr="00B514AD">
        <w:rPr>
          <w:rFonts w:ascii="Arial" w:hAnsi="Arial" w:cs="Arial"/>
          <w:color w:val="231F20"/>
        </w:rPr>
        <w:t>782.184</w:t>
      </w:r>
      <w:r w:rsidRPr="00B514AD">
        <w:rPr>
          <w:rFonts w:ascii="Arial" w:hAnsi="Arial" w:cs="Arial"/>
          <w:color w:val="231F20"/>
          <w:spacing w:val="-16"/>
        </w:rPr>
        <w:t xml:space="preserve"> </w:t>
      </w:r>
      <w:r w:rsidRPr="00B514AD">
        <w:rPr>
          <w:rFonts w:ascii="Arial" w:hAnsi="Arial" w:cs="Arial"/>
          <w:color w:val="231F20"/>
        </w:rPr>
        <w:t>indemnizaciones administrativas a 759.341 víctimas. Así pues, el número</w:t>
      </w:r>
      <w:r w:rsidRPr="00B514AD">
        <w:rPr>
          <w:rFonts w:ascii="Arial" w:hAnsi="Arial" w:cs="Arial"/>
          <w:color w:val="231F20"/>
          <w:spacing w:val="-19"/>
        </w:rPr>
        <w:t xml:space="preserve"> </w:t>
      </w:r>
      <w:r w:rsidRPr="00B514AD">
        <w:rPr>
          <w:rFonts w:ascii="Arial" w:hAnsi="Arial" w:cs="Arial"/>
          <w:color w:val="231F20"/>
        </w:rPr>
        <w:t>de</w:t>
      </w:r>
      <w:r w:rsidRPr="00B514AD">
        <w:rPr>
          <w:rFonts w:ascii="Arial" w:hAnsi="Arial" w:cs="Arial"/>
          <w:color w:val="231F20"/>
          <w:spacing w:val="-18"/>
        </w:rPr>
        <w:t xml:space="preserve"> </w:t>
      </w:r>
      <w:r w:rsidRPr="00B514AD">
        <w:rPr>
          <w:rFonts w:ascii="Arial" w:hAnsi="Arial" w:cs="Arial"/>
          <w:color w:val="231F20"/>
        </w:rPr>
        <w:t>indemnizaciones</w:t>
      </w:r>
      <w:r w:rsidRPr="00B514AD">
        <w:rPr>
          <w:rFonts w:ascii="Arial" w:hAnsi="Arial" w:cs="Arial"/>
          <w:color w:val="231F20"/>
          <w:spacing w:val="-18"/>
        </w:rPr>
        <w:t xml:space="preserve"> </w:t>
      </w:r>
      <w:r w:rsidRPr="00B514AD">
        <w:rPr>
          <w:rFonts w:ascii="Arial" w:hAnsi="Arial" w:cs="Arial"/>
          <w:color w:val="231F20"/>
        </w:rPr>
        <w:t>entregadas</w:t>
      </w:r>
      <w:r w:rsidRPr="00B514AD">
        <w:rPr>
          <w:rFonts w:ascii="Arial" w:hAnsi="Arial" w:cs="Arial"/>
          <w:color w:val="231F20"/>
          <w:spacing w:val="-18"/>
        </w:rPr>
        <w:t xml:space="preserve"> </w:t>
      </w:r>
      <w:r w:rsidRPr="00B514AD">
        <w:rPr>
          <w:rFonts w:ascii="Arial" w:hAnsi="Arial" w:cs="Arial"/>
          <w:color w:val="231F20"/>
        </w:rPr>
        <w:t>no</w:t>
      </w:r>
      <w:r w:rsidRPr="00B514AD">
        <w:rPr>
          <w:rFonts w:ascii="Arial" w:hAnsi="Arial" w:cs="Arial"/>
          <w:color w:val="231F20"/>
          <w:spacing w:val="-18"/>
        </w:rPr>
        <w:t xml:space="preserve"> </w:t>
      </w:r>
      <w:r w:rsidRPr="00B514AD">
        <w:rPr>
          <w:rFonts w:ascii="Arial" w:hAnsi="Arial" w:cs="Arial"/>
          <w:color w:val="231F20"/>
        </w:rPr>
        <w:t>alcanza a</w:t>
      </w:r>
      <w:r w:rsidRPr="00B514AD">
        <w:rPr>
          <w:rFonts w:ascii="Arial" w:hAnsi="Arial" w:cs="Arial"/>
          <w:color w:val="231F20"/>
          <w:spacing w:val="-12"/>
        </w:rPr>
        <w:t xml:space="preserve"> </w:t>
      </w:r>
      <w:r w:rsidRPr="00B514AD">
        <w:rPr>
          <w:rFonts w:ascii="Arial" w:hAnsi="Arial" w:cs="Arial"/>
          <w:color w:val="231F20"/>
        </w:rPr>
        <w:t>impactar</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manera</w:t>
      </w:r>
      <w:r w:rsidRPr="00B514AD">
        <w:rPr>
          <w:rFonts w:ascii="Arial" w:hAnsi="Arial" w:cs="Arial"/>
          <w:color w:val="231F20"/>
          <w:spacing w:val="-12"/>
        </w:rPr>
        <w:t xml:space="preserve"> </w:t>
      </w:r>
      <w:r w:rsidRPr="00B514AD">
        <w:rPr>
          <w:rFonts w:ascii="Arial" w:hAnsi="Arial" w:cs="Arial"/>
          <w:color w:val="231F20"/>
        </w:rPr>
        <w:t>significativa</w:t>
      </w:r>
      <w:r w:rsidRPr="00B514AD">
        <w:rPr>
          <w:rFonts w:ascii="Arial" w:hAnsi="Arial" w:cs="Arial"/>
          <w:color w:val="231F20"/>
          <w:spacing w:val="-12"/>
        </w:rPr>
        <w:t xml:space="preserve"> </w:t>
      </w:r>
      <w:r w:rsidRPr="00B514AD">
        <w:rPr>
          <w:rFonts w:ascii="Arial" w:hAnsi="Arial" w:cs="Arial"/>
          <w:color w:val="231F20"/>
        </w:rPr>
        <w:t>el</w:t>
      </w:r>
      <w:r w:rsidRPr="00B514AD">
        <w:rPr>
          <w:rFonts w:ascii="Arial" w:hAnsi="Arial" w:cs="Arial"/>
          <w:color w:val="231F20"/>
          <w:spacing w:val="-12"/>
        </w:rPr>
        <w:t xml:space="preserve"> </w:t>
      </w:r>
      <w:r w:rsidRPr="00B514AD">
        <w:rPr>
          <w:rFonts w:ascii="Arial" w:hAnsi="Arial" w:cs="Arial"/>
          <w:color w:val="231F20"/>
        </w:rPr>
        <w:t>acceso</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las víctimas,</w:t>
      </w:r>
      <w:r w:rsidRPr="00B514AD">
        <w:rPr>
          <w:rFonts w:ascii="Arial" w:hAnsi="Arial" w:cs="Arial"/>
          <w:color w:val="231F20"/>
          <w:spacing w:val="-7"/>
        </w:rPr>
        <w:t xml:space="preserve"> </w:t>
      </w:r>
      <w:r w:rsidRPr="00B514AD">
        <w:rPr>
          <w:rFonts w:ascii="Arial" w:hAnsi="Arial" w:cs="Arial"/>
          <w:color w:val="231F20"/>
        </w:rPr>
        <w:t>ya</w:t>
      </w:r>
      <w:r w:rsidRPr="00B514AD">
        <w:rPr>
          <w:rFonts w:ascii="Arial" w:hAnsi="Arial" w:cs="Arial"/>
          <w:color w:val="231F20"/>
          <w:spacing w:val="-7"/>
        </w:rPr>
        <w:t xml:space="preserve"> </w:t>
      </w:r>
      <w:r w:rsidRPr="00B514AD">
        <w:rPr>
          <w:rFonts w:ascii="Arial" w:hAnsi="Arial" w:cs="Arial"/>
          <w:color w:val="231F20"/>
        </w:rPr>
        <w:t>que</w:t>
      </w:r>
      <w:r w:rsidRPr="00B514AD">
        <w:rPr>
          <w:rFonts w:ascii="Arial" w:hAnsi="Arial" w:cs="Arial"/>
          <w:color w:val="231F20"/>
          <w:spacing w:val="-7"/>
        </w:rPr>
        <w:t xml:space="preserve"> </w:t>
      </w:r>
      <w:r w:rsidRPr="00B514AD">
        <w:rPr>
          <w:rFonts w:ascii="Arial" w:hAnsi="Arial" w:cs="Arial"/>
          <w:color w:val="231F20"/>
        </w:rPr>
        <w:t>a</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7"/>
        </w:rPr>
        <w:t xml:space="preserve"> </w:t>
      </w:r>
      <w:r w:rsidRPr="00B514AD">
        <w:rPr>
          <w:rFonts w:ascii="Arial" w:hAnsi="Arial" w:cs="Arial"/>
          <w:color w:val="231F20"/>
        </w:rPr>
        <w:t>fecha</w:t>
      </w:r>
      <w:r w:rsidRPr="00B514AD">
        <w:rPr>
          <w:rFonts w:ascii="Arial" w:hAnsi="Arial" w:cs="Arial"/>
          <w:color w:val="231F20"/>
          <w:spacing w:val="-7"/>
        </w:rPr>
        <w:t xml:space="preserve"> </w:t>
      </w:r>
      <w:r w:rsidRPr="00B514AD">
        <w:rPr>
          <w:rFonts w:ascii="Arial" w:hAnsi="Arial" w:cs="Arial"/>
          <w:color w:val="231F20"/>
        </w:rPr>
        <w:t>el</w:t>
      </w:r>
      <w:r w:rsidRPr="00B514AD">
        <w:rPr>
          <w:rFonts w:ascii="Arial" w:hAnsi="Arial" w:cs="Arial"/>
          <w:color w:val="231F20"/>
          <w:spacing w:val="-7"/>
        </w:rPr>
        <w:t xml:space="preserve"> </w:t>
      </w:r>
      <w:r w:rsidRPr="00B514AD">
        <w:rPr>
          <w:rFonts w:ascii="Arial" w:hAnsi="Arial" w:cs="Arial"/>
          <w:color w:val="231F20"/>
        </w:rPr>
        <w:t>universo</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víctimas</w:t>
      </w:r>
      <w:r w:rsidR="00953CE8" w:rsidRPr="00B514AD">
        <w:rPr>
          <w:rFonts w:ascii="Arial" w:hAnsi="Arial" w:cs="Arial"/>
        </w:rPr>
        <w:t xml:space="preserve"> </w:t>
      </w:r>
      <w:r w:rsidRPr="00B514AD">
        <w:rPr>
          <w:rFonts w:ascii="Arial" w:hAnsi="Arial" w:cs="Arial"/>
          <w:color w:val="231F20"/>
        </w:rPr>
        <w:t>a indemnizar es de 6.972.882</w:t>
      </w:r>
      <w:r w:rsidR="00B514AD" w:rsidRPr="00B514AD">
        <w:rPr>
          <w:rStyle w:val="Refdenotaalpie"/>
          <w:rFonts w:ascii="Arial" w:hAnsi="Arial" w:cs="Arial"/>
          <w:color w:val="231F20"/>
        </w:rPr>
        <w:footnoteReference w:id="8"/>
      </w:r>
      <w:r w:rsidRPr="00B514AD">
        <w:rPr>
          <w:rFonts w:ascii="Arial" w:hAnsi="Arial" w:cs="Arial"/>
          <w:color w:val="231F20"/>
        </w:rPr>
        <w:t>. Esto quiere decir que faltando tres vigencias fiscales para que se agote el tiempo  actual  de  implementación  de  la ley solo se ha indemnizado al 11.2% de las víctimas</w:t>
      </w:r>
      <w:r w:rsidRPr="00B514AD">
        <w:rPr>
          <w:rFonts w:ascii="Arial" w:hAnsi="Arial" w:cs="Arial"/>
          <w:color w:val="231F20"/>
          <w:spacing w:val="2"/>
        </w:rPr>
        <w:t xml:space="preserve"> </w:t>
      </w:r>
      <w:r w:rsidRPr="00B514AD">
        <w:rPr>
          <w:rFonts w:ascii="Arial" w:hAnsi="Arial" w:cs="Arial"/>
          <w:color w:val="231F20"/>
        </w:rPr>
        <w:t>indemnizables</w:t>
      </w:r>
      <w:r w:rsidR="00B514AD" w:rsidRPr="00B514AD">
        <w:rPr>
          <w:rStyle w:val="Refdenotaalpie"/>
          <w:rFonts w:ascii="Arial" w:hAnsi="Arial" w:cs="Arial"/>
          <w:color w:val="231F20"/>
        </w:rPr>
        <w:footnoteReference w:id="9"/>
      </w:r>
      <w:r w:rsidRPr="00B514AD">
        <w:rPr>
          <w:rFonts w:ascii="Arial" w:hAnsi="Arial" w:cs="Arial"/>
          <w:color w:val="231F20"/>
        </w:rPr>
        <w:t>.</w:t>
      </w:r>
    </w:p>
    <w:p w:rsidR="00EC5F4C" w:rsidRPr="00B514AD" w:rsidRDefault="00EC5F4C" w:rsidP="00017F19">
      <w:pPr>
        <w:pStyle w:val="Textoindependiente"/>
        <w:spacing w:before="91" w:line="223" w:lineRule="auto"/>
        <w:ind w:right="158" w:firstLine="283"/>
        <w:jc w:val="both"/>
        <w:rPr>
          <w:rFonts w:ascii="Arial" w:hAnsi="Arial" w:cs="Arial"/>
        </w:rPr>
      </w:pPr>
      <w:r w:rsidRPr="00B514AD">
        <w:rPr>
          <w:rFonts w:ascii="Arial" w:hAnsi="Arial" w:cs="Arial"/>
          <w:color w:val="231F20"/>
        </w:rPr>
        <w:t>Adicionalmente, al analizar el</w:t>
      </w:r>
      <w:r w:rsidRPr="00B514AD">
        <w:rPr>
          <w:rFonts w:ascii="Arial" w:hAnsi="Arial" w:cs="Arial"/>
          <w:color w:val="231F20"/>
          <w:spacing w:val="-36"/>
        </w:rPr>
        <w:t xml:space="preserve"> </w:t>
      </w:r>
      <w:r w:rsidRPr="00B514AD">
        <w:rPr>
          <w:rFonts w:ascii="Arial" w:hAnsi="Arial" w:cs="Arial"/>
          <w:color w:val="231F20"/>
        </w:rPr>
        <w:t>comportamiento histórico de la indemnización en relación con el universo pendiente  susceptible  a  indemnizar,  se evidencia que el avance para las víctimas de desplazamiento forzado solo se ha dado en un 5%, de los casos, lo que representa un estimado de 6.207.189 personas desplazadas que aún están a la espera de recibir</w:t>
      </w:r>
      <w:r w:rsidRPr="00B514AD">
        <w:rPr>
          <w:rFonts w:ascii="Arial" w:hAnsi="Arial" w:cs="Arial"/>
          <w:color w:val="231F20"/>
          <w:spacing w:val="16"/>
        </w:rPr>
        <w:t xml:space="preserve"> </w:t>
      </w:r>
      <w:r w:rsidRPr="00B514AD">
        <w:rPr>
          <w:rFonts w:ascii="Arial" w:hAnsi="Arial" w:cs="Arial"/>
          <w:color w:val="231F20"/>
        </w:rPr>
        <w:t>indemnización</w:t>
      </w:r>
      <w:r w:rsidR="00B514AD" w:rsidRPr="00B514AD">
        <w:rPr>
          <w:rStyle w:val="Refdenotaalpie"/>
          <w:rFonts w:ascii="Arial" w:hAnsi="Arial" w:cs="Arial"/>
          <w:color w:val="231F20"/>
        </w:rPr>
        <w:footnoteReference w:id="10"/>
      </w:r>
      <w:r w:rsidRPr="00B514AD">
        <w:rPr>
          <w:rFonts w:ascii="Arial" w:hAnsi="Arial" w:cs="Arial"/>
          <w:color w:val="231F20"/>
        </w:rPr>
        <w:t>.</w:t>
      </w:r>
    </w:p>
    <w:p w:rsidR="00EC5F4C" w:rsidRPr="00B514AD" w:rsidRDefault="00EC5F4C" w:rsidP="00017F19">
      <w:pPr>
        <w:pStyle w:val="Textoindependiente"/>
        <w:spacing w:before="78" w:line="260" w:lineRule="exact"/>
        <w:ind w:right="157" w:firstLine="283"/>
        <w:jc w:val="both"/>
        <w:rPr>
          <w:rFonts w:ascii="Arial" w:hAnsi="Arial" w:cs="Arial"/>
        </w:rPr>
      </w:pPr>
      <w:r w:rsidRPr="00B514AD">
        <w:rPr>
          <w:rFonts w:ascii="Arial" w:hAnsi="Arial" w:cs="Arial"/>
          <w:color w:val="231F20"/>
        </w:rPr>
        <w:t xml:space="preserve">En concordancia con lo planteado por la Comisión, en el documento de bases del PND actual se establece que “frente a la </w:t>
      </w:r>
      <w:r w:rsidR="000174D2" w:rsidRPr="00B514AD">
        <w:rPr>
          <w:rFonts w:ascii="Arial" w:hAnsi="Arial" w:cs="Arial"/>
          <w:color w:val="231F20"/>
        </w:rPr>
        <w:t>reparación, la</w:t>
      </w:r>
      <w:r w:rsidRPr="00B514AD">
        <w:rPr>
          <w:rFonts w:ascii="Arial" w:hAnsi="Arial" w:cs="Arial"/>
          <w:color w:val="231F20"/>
        </w:rPr>
        <w:t xml:space="preserve"> medida de indemnización ha sido recibida aproximadamente por el 12% de </w:t>
      </w:r>
      <w:r w:rsidR="000174D2" w:rsidRPr="00B514AD">
        <w:rPr>
          <w:rFonts w:ascii="Arial" w:hAnsi="Arial" w:cs="Arial"/>
          <w:color w:val="231F20"/>
        </w:rPr>
        <w:t>las víctimas del</w:t>
      </w:r>
      <w:r w:rsidRPr="00B514AD">
        <w:rPr>
          <w:rFonts w:ascii="Arial" w:hAnsi="Arial" w:cs="Arial"/>
          <w:color w:val="231F20"/>
        </w:rPr>
        <w:t xml:space="preserve"> conflicto armado que tendrían derecho a esta medida,</w:t>
      </w:r>
      <w:r w:rsidRPr="00B514AD">
        <w:rPr>
          <w:rFonts w:ascii="Arial" w:hAnsi="Arial" w:cs="Arial"/>
          <w:color w:val="231F20"/>
          <w:spacing w:val="-10"/>
        </w:rPr>
        <w:t xml:space="preserve"> </w:t>
      </w:r>
      <w:r w:rsidRPr="00B514AD">
        <w:rPr>
          <w:rFonts w:ascii="Arial" w:hAnsi="Arial" w:cs="Arial"/>
          <w:color w:val="231F20"/>
        </w:rPr>
        <w:t>lo</w:t>
      </w:r>
      <w:r w:rsidRPr="00B514AD">
        <w:rPr>
          <w:rFonts w:ascii="Arial" w:hAnsi="Arial" w:cs="Arial"/>
          <w:color w:val="231F20"/>
          <w:spacing w:val="-9"/>
        </w:rPr>
        <w:t xml:space="preserve"> </w:t>
      </w:r>
      <w:r w:rsidRPr="00B514AD">
        <w:rPr>
          <w:rFonts w:ascii="Arial" w:hAnsi="Arial" w:cs="Arial"/>
          <w:color w:val="231F20"/>
        </w:rPr>
        <w:t>que</w:t>
      </w:r>
      <w:r w:rsidRPr="00B514AD">
        <w:rPr>
          <w:rFonts w:ascii="Arial" w:hAnsi="Arial" w:cs="Arial"/>
          <w:color w:val="231F20"/>
          <w:spacing w:val="-10"/>
        </w:rPr>
        <w:t xml:space="preserve"> </w:t>
      </w:r>
      <w:r w:rsidRPr="00B514AD">
        <w:rPr>
          <w:rFonts w:ascii="Arial" w:hAnsi="Arial" w:cs="Arial"/>
          <w:color w:val="231F20"/>
        </w:rPr>
        <w:t>representa</w:t>
      </w:r>
      <w:r w:rsidRPr="00B514AD">
        <w:rPr>
          <w:rFonts w:ascii="Arial" w:hAnsi="Arial" w:cs="Arial"/>
          <w:color w:val="231F20"/>
          <w:spacing w:val="-10"/>
        </w:rPr>
        <w:t xml:space="preserve"> </w:t>
      </w:r>
      <w:r w:rsidRPr="00B514AD">
        <w:rPr>
          <w:rFonts w:ascii="Arial" w:hAnsi="Arial" w:cs="Arial"/>
          <w:color w:val="231F20"/>
        </w:rPr>
        <w:t>una</w:t>
      </w:r>
      <w:r w:rsidRPr="00B514AD">
        <w:rPr>
          <w:rFonts w:ascii="Arial" w:hAnsi="Arial" w:cs="Arial"/>
          <w:color w:val="231F20"/>
          <w:spacing w:val="-10"/>
        </w:rPr>
        <w:t xml:space="preserve"> </w:t>
      </w:r>
      <w:r w:rsidRPr="00B514AD">
        <w:rPr>
          <w:rFonts w:ascii="Arial" w:hAnsi="Arial" w:cs="Arial"/>
          <w:color w:val="231F20"/>
        </w:rPr>
        <w:t>brecha</w:t>
      </w:r>
      <w:r w:rsidRPr="00B514AD">
        <w:rPr>
          <w:rFonts w:ascii="Arial" w:hAnsi="Arial" w:cs="Arial"/>
          <w:color w:val="231F20"/>
          <w:spacing w:val="-9"/>
        </w:rPr>
        <w:t xml:space="preserve"> </w:t>
      </w:r>
      <w:r w:rsidRPr="00B514AD">
        <w:rPr>
          <w:rFonts w:ascii="Arial" w:hAnsi="Arial" w:cs="Arial"/>
          <w:color w:val="231F20"/>
        </w:rPr>
        <w:t>significativa a pocos años de finalizar la vigencia de la Ley de Víctimas”. Así a septiembre de 2018 la medida de indemnización ha sido recibida por 865.997 personas, frente a los 6.714.679 víctimas que son sujeto de la medida de indemnización incluidas en el Registro Único de</w:t>
      </w:r>
      <w:r w:rsidRPr="00B514AD">
        <w:rPr>
          <w:rFonts w:ascii="Arial" w:hAnsi="Arial" w:cs="Arial"/>
          <w:color w:val="231F20"/>
          <w:spacing w:val="9"/>
        </w:rPr>
        <w:t xml:space="preserve"> </w:t>
      </w:r>
      <w:r w:rsidRPr="00B514AD">
        <w:rPr>
          <w:rFonts w:ascii="Arial" w:hAnsi="Arial" w:cs="Arial"/>
          <w:color w:val="231F20"/>
        </w:rPr>
        <w:t>Víctimas”</w:t>
      </w:r>
      <w:r w:rsidR="00B514AD" w:rsidRPr="00B514AD">
        <w:rPr>
          <w:rStyle w:val="Refdenotaalpie"/>
          <w:rFonts w:ascii="Arial" w:hAnsi="Arial" w:cs="Arial"/>
          <w:color w:val="231F20"/>
        </w:rPr>
        <w:footnoteReference w:id="11"/>
      </w:r>
      <w:r w:rsidRPr="00B514AD">
        <w:rPr>
          <w:rFonts w:ascii="Arial" w:hAnsi="Arial" w:cs="Arial"/>
          <w:color w:val="231F20"/>
        </w:rPr>
        <w:t>.</w:t>
      </w:r>
    </w:p>
    <w:p w:rsidR="00EC5F4C" w:rsidRDefault="00EC5F4C" w:rsidP="00017F19">
      <w:pPr>
        <w:pStyle w:val="Textoindependiente"/>
        <w:spacing w:before="80" w:line="225" w:lineRule="auto"/>
        <w:ind w:right="158" w:firstLine="283"/>
        <w:jc w:val="both"/>
        <w:rPr>
          <w:rFonts w:ascii="Arial" w:hAnsi="Arial" w:cs="Arial"/>
          <w:color w:val="231F20"/>
        </w:rPr>
      </w:pPr>
      <w:r w:rsidRPr="00B514AD">
        <w:rPr>
          <w:rFonts w:ascii="Arial" w:hAnsi="Arial" w:cs="Arial"/>
          <w:color w:val="231F20"/>
        </w:rPr>
        <w:t xml:space="preserve">En ese orden de ideas, puede indicarse que    la Ley 1448 aún no ha cumplido los objetivos para las cuales </w:t>
      </w:r>
      <w:r w:rsidR="000174D2" w:rsidRPr="00B514AD">
        <w:rPr>
          <w:rFonts w:ascii="Arial" w:hAnsi="Arial" w:cs="Arial"/>
          <w:color w:val="231F20"/>
        </w:rPr>
        <w:t>fue planteada, por el contrario,</w:t>
      </w:r>
      <w:r w:rsidRPr="00B514AD">
        <w:rPr>
          <w:rFonts w:ascii="Arial" w:hAnsi="Arial" w:cs="Arial"/>
          <w:color w:val="231F20"/>
        </w:rPr>
        <w:t xml:space="preserve"> la consolidación y cumplimiento efectivo de los derechos de las víctimas sigue siendo una tarea pendiente, y en ese sentido también lo son sus objetivos</w:t>
      </w:r>
      <w:r w:rsidR="00953CE8" w:rsidRPr="00B514AD">
        <w:rPr>
          <w:rFonts w:ascii="Arial" w:hAnsi="Arial" w:cs="Arial"/>
          <w:color w:val="231F20"/>
        </w:rPr>
        <w:t xml:space="preserve"> </w:t>
      </w:r>
      <w:r w:rsidRPr="00B514AD">
        <w:rPr>
          <w:rFonts w:ascii="Arial" w:hAnsi="Arial" w:cs="Arial"/>
          <w:color w:val="231F20"/>
        </w:rPr>
        <w:t>transicionales. Precisamente</w:t>
      </w:r>
      <w:r w:rsidR="00953CE8" w:rsidRPr="00B514AD">
        <w:rPr>
          <w:rFonts w:ascii="Arial" w:hAnsi="Arial" w:cs="Arial"/>
          <w:color w:val="231F20"/>
        </w:rPr>
        <w:t xml:space="preserve"> </w:t>
      </w:r>
      <w:r w:rsidRPr="00B514AD">
        <w:rPr>
          <w:rFonts w:ascii="Arial" w:hAnsi="Arial" w:cs="Arial"/>
          <w:color w:val="231F20"/>
        </w:rPr>
        <w:t xml:space="preserve">conscientes de esto fue que se estableció en el mismo artículo 208 de la Ley 1448 la obligación de revisión, por parte del Congreso de la República, del estado de cumplimiento de las obligaciones derivadas de esta </w:t>
      </w:r>
      <w:r w:rsidRPr="00B514AD">
        <w:rPr>
          <w:rFonts w:ascii="Arial" w:hAnsi="Arial" w:cs="Arial"/>
          <w:color w:val="231F20"/>
          <w:spacing w:val="-4"/>
        </w:rPr>
        <w:t xml:space="preserve">ley, </w:t>
      </w:r>
      <w:r w:rsidRPr="00B514AD">
        <w:rPr>
          <w:rFonts w:ascii="Arial" w:hAnsi="Arial" w:cs="Arial"/>
          <w:color w:val="231F20"/>
        </w:rPr>
        <w:t>faltando un año para el cumplimiento de su</w:t>
      </w:r>
      <w:r w:rsidRPr="00B514AD">
        <w:rPr>
          <w:rFonts w:ascii="Arial" w:hAnsi="Arial" w:cs="Arial"/>
          <w:color w:val="231F20"/>
          <w:spacing w:val="2"/>
        </w:rPr>
        <w:t xml:space="preserve"> </w:t>
      </w:r>
      <w:r w:rsidRPr="00B514AD">
        <w:rPr>
          <w:rFonts w:ascii="Arial" w:hAnsi="Arial" w:cs="Arial"/>
          <w:color w:val="231F20"/>
        </w:rPr>
        <w:t>vigencia.</w:t>
      </w:r>
    </w:p>
    <w:p w:rsidR="00A2760A" w:rsidRDefault="00A2760A" w:rsidP="00017F19">
      <w:pPr>
        <w:pStyle w:val="Textoindependiente"/>
        <w:spacing w:before="80" w:line="225" w:lineRule="auto"/>
        <w:ind w:right="158" w:firstLine="283"/>
        <w:jc w:val="both"/>
        <w:rPr>
          <w:rFonts w:ascii="Arial" w:hAnsi="Arial" w:cs="Arial"/>
          <w:color w:val="231F20"/>
        </w:rPr>
      </w:pPr>
    </w:p>
    <w:p w:rsidR="00953CE8" w:rsidRDefault="00953CE8" w:rsidP="00017F19">
      <w:pPr>
        <w:pStyle w:val="Textoindependiente"/>
        <w:spacing w:before="80" w:line="225" w:lineRule="auto"/>
        <w:ind w:right="158" w:firstLine="283"/>
        <w:jc w:val="both"/>
        <w:rPr>
          <w:rFonts w:ascii="Arial" w:hAnsi="Arial" w:cs="Arial"/>
          <w:b/>
        </w:rPr>
      </w:pPr>
      <w:r w:rsidRPr="00B514AD">
        <w:rPr>
          <w:rFonts w:ascii="Arial" w:hAnsi="Arial" w:cs="Arial"/>
          <w:b/>
          <w:color w:val="231F20"/>
        </w:rPr>
        <w:t xml:space="preserve">2.2 </w:t>
      </w:r>
      <w:r w:rsidRPr="00B514AD">
        <w:rPr>
          <w:rFonts w:ascii="Arial" w:hAnsi="Arial" w:cs="Arial"/>
          <w:b/>
        </w:rPr>
        <w:t>Regresividad con la pérdida de vigencia de la Ley 1448</w:t>
      </w:r>
    </w:p>
    <w:p w:rsidR="00B514AD" w:rsidRPr="00B514AD" w:rsidRDefault="00B514AD" w:rsidP="00017F19">
      <w:pPr>
        <w:pStyle w:val="Textoindependiente"/>
        <w:spacing w:before="80" w:line="225" w:lineRule="auto"/>
        <w:ind w:right="158" w:firstLine="283"/>
        <w:jc w:val="both"/>
        <w:rPr>
          <w:rFonts w:ascii="Arial" w:hAnsi="Arial" w:cs="Arial"/>
          <w:b/>
        </w:rPr>
      </w:pPr>
    </w:p>
    <w:p w:rsidR="00EC5F4C" w:rsidRPr="00B514AD" w:rsidRDefault="00EC5F4C" w:rsidP="00953CE8">
      <w:pPr>
        <w:pStyle w:val="Textoindependiente"/>
        <w:spacing w:before="86" w:line="225" w:lineRule="auto"/>
        <w:ind w:right="158" w:firstLine="283"/>
        <w:jc w:val="both"/>
        <w:rPr>
          <w:rFonts w:ascii="Arial" w:hAnsi="Arial" w:cs="Arial"/>
        </w:rPr>
      </w:pPr>
      <w:r w:rsidRPr="00B514AD">
        <w:rPr>
          <w:rFonts w:ascii="Arial" w:hAnsi="Arial" w:cs="Arial"/>
          <w:color w:val="231F20"/>
        </w:rPr>
        <w:t xml:space="preserve">La adopción del </w:t>
      </w:r>
      <w:r w:rsidR="000174D2" w:rsidRPr="00B514AD">
        <w:rPr>
          <w:rFonts w:ascii="Arial" w:hAnsi="Arial" w:cs="Arial"/>
          <w:color w:val="231F20"/>
        </w:rPr>
        <w:t>modelo de Estado Social de</w:t>
      </w:r>
      <w:r w:rsidRPr="00B514AD">
        <w:rPr>
          <w:rFonts w:ascii="Arial" w:hAnsi="Arial" w:cs="Arial"/>
          <w:color w:val="231F20"/>
          <w:spacing w:val="35"/>
        </w:rPr>
        <w:t xml:space="preserve"> </w:t>
      </w:r>
      <w:r w:rsidRPr="00B514AD">
        <w:rPr>
          <w:rFonts w:ascii="Arial" w:hAnsi="Arial" w:cs="Arial"/>
          <w:color w:val="231F20"/>
        </w:rPr>
        <w:t>Derecho,</w:t>
      </w:r>
      <w:r w:rsidRPr="00B514AD">
        <w:rPr>
          <w:rFonts w:ascii="Arial" w:hAnsi="Arial" w:cs="Arial"/>
          <w:color w:val="231F20"/>
          <w:spacing w:val="35"/>
        </w:rPr>
        <w:t xml:space="preserve"> </w:t>
      </w:r>
      <w:r w:rsidRPr="00B514AD">
        <w:rPr>
          <w:rFonts w:ascii="Arial" w:hAnsi="Arial" w:cs="Arial"/>
          <w:color w:val="231F20"/>
        </w:rPr>
        <w:t>su</w:t>
      </w:r>
      <w:r w:rsidRPr="00B514AD">
        <w:rPr>
          <w:rFonts w:ascii="Arial" w:hAnsi="Arial" w:cs="Arial"/>
          <w:color w:val="231F20"/>
          <w:spacing w:val="36"/>
        </w:rPr>
        <w:t xml:space="preserve"> </w:t>
      </w:r>
      <w:r w:rsidRPr="00B514AD">
        <w:rPr>
          <w:rFonts w:ascii="Arial" w:hAnsi="Arial" w:cs="Arial"/>
          <w:color w:val="231F20"/>
        </w:rPr>
        <w:t>nueva</w:t>
      </w:r>
      <w:r w:rsidRPr="00B514AD">
        <w:rPr>
          <w:rFonts w:ascii="Arial" w:hAnsi="Arial" w:cs="Arial"/>
          <w:color w:val="231F20"/>
          <w:spacing w:val="35"/>
        </w:rPr>
        <w:t xml:space="preserve"> </w:t>
      </w:r>
      <w:r w:rsidRPr="00B514AD">
        <w:rPr>
          <w:rFonts w:ascii="Arial" w:hAnsi="Arial" w:cs="Arial"/>
          <w:color w:val="231F20"/>
        </w:rPr>
        <w:t>concepción</w:t>
      </w:r>
      <w:r w:rsidRPr="00B514AD">
        <w:rPr>
          <w:rFonts w:ascii="Arial" w:hAnsi="Arial" w:cs="Arial"/>
          <w:color w:val="231F20"/>
          <w:spacing w:val="36"/>
        </w:rPr>
        <w:t xml:space="preserve"> </w:t>
      </w:r>
      <w:r w:rsidRPr="00B514AD">
        <w:rPr>
          <w:rFonts w:ascii="Arial" w:hAnsi="Arial" w:cs="Arial"/>
          <w:color w:val="231F20"/>
        </w:rPr>
        <w:t>del</w:t>
      </w:r>
      <w:r w:rsidRPr="00B514AD">
        <w:rPr>
          <w:rFonts w:ascii="Arial" w:hAnsi="Arial" w:cs="Arial"/>
          <w:color w:val="231F20"/>
          <w:spacing w:val="35"/>
        </w:rPr>
        <w:t xml:space="preserve"> </w:t>
      </w:r>
      <w:r w:rsidRPr="00B514AD">
        <w:rPr>
          <w:rFonts w:ascii="Arial" w:hAnsi="Arial" w:cs="Arial"/>
          <w:color w:val="231F20"/>
        </w:rPr>
        <w:t>individuo</w:t>
      </w:r>
      <w:r w:rsidR="00953CE8" w:rsidRPr="00B514AD">
        <w:rPr>
          <w:rFonts w:ascii="Arial" w:hAnsi="Arial" w:cs="Arial"/>
          <w:color w:val="231F20"/>
        </w:rPr>
        <w:t xml:space="preserve"> </w:t>
      </w:r>
      <w:r w:rsidRPr="00B514AD">
        <w:rPr>
          <w:rFonts w:ascii="Arial" w:hAnsi="Arial" w:cs="Arial"/>
          <w:color w:val="231F20"/>
        </w:rPr>
        <w:t xml:space="preserve">–individuo </w:t>
      </w:r>
      <w:r w:rsidR="000174D2" w:rsidRPr="00B514AD">
        <w:rPr>
          <w:rFonts w:ascii="Arial" w:hAnsi="Arial" w:cs="Arial"/>
          <w:color w:val="231F20"/>
        </w:rPr>
        <w:t>libre,</w:t>
      </w:r>
      <w:r w:rsidRPr="00B514AD">
        <w:rPr>
          <w:rFonts w:ascii="Arial" w:hAnsi="Arial" w:cs="Arial"/>
          <w:color w:val="231F20"/>
        </w:rPr>
        <w:t xml:space="preserve"> pero con necesidades– y su preocupación por la desigualdad material, conlleva</w:t>
      </w:r>
      <w:r w:rsidRPr="00B514AD">
        <w:rPr>
          <w:rFonts w:ascii="Arial" w:hAnsi="Arial" w:cs="Arial"/>
          <w:color w:val="231F20"/>
          <w:spacing w:val="20"/>
        </w:rPr>
        <w:t xml:space="preserve"> </w:t>
      </w:r>
      <w:r w:rsidRPr="00B514AD">
        <w:rPr>
          <w:rFonts w:ascii="Arial" w:hAnsi="Arial" w:cs="Arial"/>
          <w:color w:val="231F20"/>
        </w:rPr>
        <w:t>el</w:t>
      </w:r>
      <w:r w:rsidRPr="00B514AD">
        <w:rPr>
          <w:rFonts w:ascii="Arial" w:hAnsi="Arial" w:cs="Arial"/>
          <w:color w:val="231F20"/>
          <w:spacing w:val="20"/>
        </w:rPr>
        <w:t xml:space="preserve"> </w:t>
      </w:r>
      <w:r w:rsidRPr="00B514AD">
        <w:rPr>
          <w:rFonts w:ascii="Arial" w:hAnsi="Arial" w:cs="Arial"/>
          <w:color w:val="231F20"/>
        </w:rPr>
        <w:t>reconocimiento</w:t>
      </w:r>
      <w:r w:rsidRPr="00B514AD">
        <w:rPr>
          <w:rFonts w:ascii="Arial" w:hAnsi="Arial" w:cs="Arial"/>
          <w:color w:val="231F20"/>
          <w:spacing w:val="21"/>
        </w:rPr>
        <w:t xml:space="preserve"> </w:t>
      </w:r>
      <w:r w:rsidRPr="00B514AD">
        <w:rPr>
          <w:rFonts w:ascii="Arial" w:hAnsi="Arial" w:cs="Arial"/>
          <w:color w:val="231F20"/>
        </w:rPr>
        <w:t>de</w:t>
      </w:r>
      <w:r w:rsidRPr="00B514AD">
        <w:rPr>
          <w:rFonts w:ascii="Arial" w:hAnsi="Arial" w:cs="Arial"/>
          <w:color w:val="231F20"/>
          <w:spacing w:val="20"/>
        </w:rPr>
        <w:t xml:space="preserve"> </w:t>
      </w:r>
      <w:r w:rsidRPr="00B514AD">
        <w:rPr>
          <w:rFonts w:ascii="Arial" w:hAnsi="Arial" w:cs="Arial"/>
          <w:color w:val="231F20"/>
        </w:rPr>
        <w:t>diversos</w:t>
      </w:r>
      <w:r w:rsidRPr="00B514AD">
        <w:rPr>
          <w:rFonts w:ascii="Arial" w:hAnsi="Arial" w:cs="Arial"/>
          <w:color w:val="231F20"/>
          <w:spacing w:val="21"/>
        </w:rPr>
        <w:t xml:space="preserve"> </w:t>
      </w:r>
      <w:r w:rsidRPr="00B514AD">
        <w:rPr>
          <w:rFonts w:ascii="Arial" w:hAnsi="Arial" w:cs="Arial"/>
          <w:color w:val="231F20"/>
        </w:rPr>
        <w:t>derechos</w:t>
      </w:r>
      <w:r w:rsidR="00953CE8" w:rsidRPr="00B514AD">
        <w:rPr>
          <w:rFonts w:ascii="Arial" w:hAnsi="Arial" w:cs="Arial"/>
          <w:color w:val="231F20"/>
        </w:rPr>
        <w:t xml:space="preserve"> </w:t>
      </w:r>
      <w:r w:rsidRPr="00B514AD">
        <w:rPr>
          <w:rFonts w:ascii="Arial" w:hAnsi="Arial" w:cs="Arial"/>
          <w:color w:val="231F20"/>
        </w:rPr>
        <w:t>los derechos económicos, sociales y culturales (DESC)– como derechos fundamentales.</w:t>
      </w:r>
    </w:p>
    <w:p w:rsidR="00EC5F4C" w:rsidRPr="00B514AD" w:rsidRDefault="00EC5F4C" w:rsidP="00953CE8">
      <w:pPr>
        <w:pStyle w:val="Textoindependiente"/>
        <w:spacing w:before="86" w:line="225" w:lineRule="auto"/>
        <w:ind w:right="160" w:firstLine="283"/>
        <w:jc w:val="both"/>
        <w:rPr>
          <w:rFonts w:ascii="Arial" w:hAnsi="Arial" w:cs="Arial"/>
        </w:rPr>
      </w:pPr>
      <w:r w:rsidRPr="00B514AD">
        <w:rPr>
          <w:rFonts w:ascii="Arial" w:hAnsi="Arial" w:cs="Arial"/>
          <w:color w:val="231F20"/>
        </w:rPr>
        <w:t xml:space="preserve">Bajo el nuevo paradigma constitucional, el Legislador ya no goza de una discrecionalidad absoluta para regular y desarrollar asuntos relacionados con la garantía de los DESC; la Constitución </w:t>
      </w:r>
      <w:r w:rsidR="000174D2" w:rsidRPr="00B514AD">
        <w:rPr>
          <w:rFonts w:ascii="Arial" w:hAnsi="Arial" w:cs="Arial"/>
          <w:color w:val="231F20"/>
        </w:rPr>
        <w:t>le impone no sólo un mandato de</w:t>
      </w:r>
      <w:r w:rsidRPr="00B514AD">
        <w:rPr>
          <w:rFonts w:ascii="Arial" w:hAnsi="Arial" w:cs="Arial"/>
          <w:color w:val="231F20"/>
          <w:spacing w:val="21"/>
        </w:rPr>
        <w:t xml:space="preserve"> </w:t>
      </w:r>
      <w:r w:rsidRPr="00B514AD">
        <w:rPr>
          <w:rFonts w:ascii="Arial" w:hAnsi="Arial" w:cs="Arial"/>
          <w:color w:val="231F20"/>
        </w:rPr>
        <w:t>desarrollo</w:t>
      </w:r>
      <w:r w:rsidRPr="00B514AD">
        <w:rPr>
          <w:rFonts w:ascii="Arial" w:hAnsi="Arial" w:cs="Arial"/>
          <w:color w:val="231F20"/>
          <w:spacing w:val="22"/>
        </w:rPr>
        <w:t xml:space="preserve"> </w:t>
      </w:r>
      <w:r w:rsidRPr="00B514AD">
        <w:rPr>
          <w:rFonts w:ascii="Arial" w:hAnsi="Arial" w:cs="Arial"/>
          <w:color w:val="231F20"/>
        </w:rPr>
        <w:t>legislativo</w:t>
      </w:r>
      <w:r w:rsidRPr="00B514AD">
        <w:rPr>
          <w:rFonts w:ascii="Arial" w:hAnsi="Arial" w:cs="Arial"/>
          <w:color w:val="231F20"/>
          <w:spacing w:val="22"/>
        </w:rPr>
        <w:t xml:space="preserve"> </w:t>
      </w:r>
      <w:r w:rsidRPr="00B514AD">
        <w:rPr>
          <w:rFonts w:ascii="Arial" w:hAnsi="Arial" w:cs="Arial"/>
          <w:color w:val="231F20"/>
        </w:rPr>
        <w:t>en</w:t>
      </w:r>
      <w:r w:rsidRPr="00B514AD">
        <w:rPr>
          <w:rFonts w:ascii="Arial" w:hAnsi="Arial" w:cs="Arial"/>
          <w:color w:val="231F20"/>
          <w:spacing w:val="21"/>
        </w:rPr>
        <w:t xml:space="preserve"> </w:t>
      </w:r>
      <w:r w:rsidRPr="00B514AD">
        <w:rPr>
          <w:rFonts w:ascii="Arial" w:hAnsi="Arial" w:cs="Arial"/>
          <w:color w:val="231F20"/>
        </w:rPr>
        <w:t>estas</w:t>
      </w:r>
      <w:r w:rsidRPr="00B514AD">
        <w:rPr>
          <w:rFonts w:ascii="Arial" w:hAnsi="Arial" w:cs="Arial"/>
          <w:color w:val="231F20"/>
          <w:spacing w:val="22"/>
        </w:rPr>
        <w:t xml:space="preserve"> </w:t>
      </w:r>
      <w:r w:rsidR="000174D2" w:rsidRPr="00B514AD">
        <w:rPr>
          <w:rFonts w:ascii="Arial" w:hAnsi="Arial" w:cs="Arial"/>
          <w:color w:val="231F20"/>
        </w:rPr>
        <w:t>materias, sino</w:t>
      </w:r>
      <w:r w:rsidRPr="00B514AD">
        <w:rPr>
          <w:rFonts w:ascii="Arial" w:hAnsi="Arial" w:cs="Arial"/>
          <w:color w:val="231F20"/>
        </w:rPr>
        <w:t xml:space="preserve"> también </w:t>
      </w:r>
      <w:r w:rsidR="000174D2" w:rsidRPr="00B514AD">
        <w:rPr>
          <w:rFonts w:ascii="Arial" w:hAnsi="Arial" w:cs="Arial"/>
          <w:color w:val="231F20"/>
        </w:rPr>
        <w:t>de progresividad y no regresión</w:t>
      </w:r>
      <w:r w:rsidRPr="00B514AD">
        <w:rPr>
          <w:rFonts w:ascii="Arial" w:hAnsi="Arial" w:cs="Arial"/>
          <w:color w:val="231F20"/>
        </w:rPr>
        <w:t xml:space="preserve">, y de respeto por sus contenidos, los </w:t>
      </w:r>
      <w:r w:rsidR="000174D2" w:rsidRPr="00B514AD">
        <w:rPr>
          <w:rFonts w:ascii="Arial" w:hAnsi="Arial" w:cs="Arial"/>
          <w:color w:val="231F20"/>
        </w:rPr>
        <w:t>que han sido</w:t>
      </w:r>
      <w:r w:rsidRPr="00B514AD">
        <w:rPr>
          <w:rFonts w:ascii="Arial" w:hAnsi="Arial" w:cs="Arial"/>
          <w:color w:val="231F20"/>
        </w:rPr>
        <w:t xml:space="preserve"> fijados por la Constitución, el bloque </w:t>
      </w:r>
      <w:r w:rsidRPr="00B514AD">
        <w:rPr>
          <w:rFonts w:ascii="Arial" w:hAnsi="Arial" w:cs="Arial"/>
          <w:color w:val="231F20"/>
        </w:rPr>
        <w:lastRenderedPageBreak/>
        <w:t xml:space="preserve">de constitucionalidad y el </w:t>
      </w:r>
      <w:r w:rsidR="000174D2" w:rsidRPr="00B514AD">
        <w:rPr>
          <w:rFonts w:ascii="Arial" w:hAnsi="Arial" w:cs="Arial"/>
          <w:color w:val="231F20"/>
        </w:rPr>
        <w:t>juez constitucional con</w:t>
      </w:r>
      <w:r w:rsidRPr="00B514AD">
        <w:rPr>
          <w:rFonts w:ascii="Arial" w:hAnsi="Arial" w:cs="Arial"/>
          <w:color w:val="231F20"/>
        </w:rPr>
        <w:t xml:space="preserve"> el paso de los años. Estos deberes se traducen, entre otras, en la obligación de </w:t>
      </w:r>
      <w:r w:rsidR="000174D2" w:rsidRPr="00B514AD">
        <w:rPr>
          <w:rFonts w:ascii="Arial" w:hAnsi="Arial" w:cs="Arial"/>
          <w:color w:val="231F20"/>
        </w:rPr>
        <w:t>adoptar leyes que contengan lineamientos de</w:t>
      </w:r>
      <w:r w:rsidRPr="00B514AD">
        <w:rPr>
          <w:rFonts w:ascii="Arial" w:hAnsi="Arial" w:cs="Arial"/>
          <w:color w:val="231F20"/>
        </w:rPr>
        <w:t xml:space="preserve">   política pública dirigidos a garantizarlos en todas sus dimensiones, por </w:t>
      </w:r>
      <w:r w:rsidR="000174D2" w:rsidRPr="00B514AD">
        <w:rPr>
          <w:rFonts w:ascii="Arial" w:hAnsi="Arial" w:cs="Arial"/>
          <w:color w:val="231F20"/>
        </w:rPr>
        <w:t>su puesto, con fundamento en</w:t>
      </w:r>
      <w:r w:rsidRPr="00B514AD">
        <w:rPr>
          <w:rFonts w:ascii="Arial" w:hAnsi="Arial" w:cs="Arial"/>
          <w:color w:val="231F20"/>
        </w:rPr>
        <w:t xml:space="preserve"> información relevante de carácter técnico, dada la complejidad que implica su satisfacción, no sólo por la intervención de distintos actores institucionales y la disposición de recursos económicos y humanos, entre</w:t>
      </w:r>
      <w:r w:rsidRPr="00B514AD">
        <w:rPr>
          <w:rFonts w:ascii="Arial" w:hAnsi="Arial" w:cs="Arial"/>
          <w:color w:val="231F20"/>
          <w:spacing w:val="12"/>
        </w:rPr>
        <w:t xml:space="preserve"> </w:t>
      </w:r>
      <w:r w:rsidRPr="00B514AD">
        <w:rPr>
          <w:rFonts w:ascii="Arial" w:hAnsi="Arial" w:cs="Arial"/>
          <w:color w:val="231F20"/>
        </w:rPr>
        <w:t>otros.</w:t>
      </w:r>
    </w:p>
    <w:p w:rsidR="00EC5F4C" w:rsidRPr="00B514AD" w:rsidRDefault="00EC5F4C" w:rsidP="00017F19">
      <w:pPr>
        <w:pStyle w:val="Textoindependiente"/>
        <w:spacing w:before="72" w:line="225" w:lineRule="auto"/>
        <w:ind w:right="38" w:firstLine="283"/>
        <w:jc w:val="both"/>
        <w:rPr>
          <w:rFonts w:ascii="Arial" w:hAnsi="Arial" w:cs="Arial"/>
        </w:rPr>
      </w:pPr>
      <w:r w:rsidRPr="00B514AD">
        <w:rPr>
          <w:rFonts w:ascii="Arial" w:hAnsi="Arial" w:cs="Arial"/>
          <w:color w:val="231F20"/>
        </w:rPr>
        <w:t xml:space="preserve">El principio de progresividad ha sido reconocido en diversos tratados internacionales de derechos humanos que </w:t>
      </w:r>
      <w:r w:rsidR="000174D2" w:rsidRPr="00B514AD">
        <w:rPr>
          <w:rFonts w:ascii="Arial" w:hAnsi="Arial" w:cs="Arial"/>
          <w:color w:val="231F20"/>
        </w:rPr>
        <w:t>hacen parte del</w:t>
      </w:r>
      <w:r w:rsidRPr="00B514AD">
        <w:rPr>
          <w:rFonts w:ascii="Arial" w:hAnsi="Arial" w:cs="Arial"/>
          <w:color w:val="231F20"/>
        </w:rPr>
        <w:t xml:space="preserve"> bloque de </w:t>
      </w:r>
      <w:r w:rsidR="000174D2" w:rsidRPr="00B514AD">
        <w:rPr>
          <w:rFonts w:ascii="Arial" w:hAnsi="Arial" w:cs="Arial"/>
          <w:color w:val="231F20"/>
        </w:rPr>
        <w:t>constitucionalidad y se traduce en la</w:t>
      </w:r>
      <w:r w:rsidRPr="00B514AD">
        <w:rPr>
          <w:rFonts w:ascii="Arial" w:hAnsi="Arial" w:cs="Arial"/>
          <w:color w:val="231F20"/>
        </w:rPr>
        <w:t xml:space="preserve"> obligación del Estado de adoptar medidas, especialmente económicas y técnicas, para lograr gradual, sucesiva, paulatina y crecientemente la plena efectividad de los DESC reconocidos por los Estados. Esa progresividad en la satisfacción de los derechos implica para el Estado tanto apropiar el máximo de sus recursos como adoptar las medidas legislativas y de otro tipo para lograr su efectivo</w:t>
      </w:r>
      <w:r w:rsidRPr="00B514AD">
        <w:rPr>
          <w:rFonts w:ascii="Arial" w:hAnsi="Arial" w:cs="Arial"/>
          <w:color w:val="231F20"/>
          <w:spacing w:val="4"/>
        </w:rPr>
        <w:t xml:space="preserve"> </w:t>
      </w:r>
      <w:r w:rsidRPr="00B514AD">
        <w:rPr>
          <w:rFonts w:ascii="Arial" w:hAnsi="Arial" w:cs="Arial"/>
          <w:color w:val="231F20"/>
        </w:rPr>
        <w:t>disfrute.</w:t>
      </w:r>
    </w:p>
    <w:p w:rsidR="00EC5F4C" w:rsidRPr="00B514AD" w:rsidRDefault="00EC5F4C" w:rsidP="00945315">
      <w:pPr>
        <w:spacing w:before="73" w:line="225" w:lineRule="auto"/>
        <w:ind w:right="38"/>
        <w:jc w:val="both"/>
        <w:rPr>
          <w:rFonts w:ascii="Arial" w:hAnsi="Arial" w:cs="Arial"/>
          <w:i/>
        </w:rPr>
      </w:pPr>
      <w:r w:rsidRPr="00B514AD">
        <w:rPr>
          <w:rFonts w:ascii="Arial" w:hAnsi="Arial" w:cs="Arial"/>
          <w:color w:val="231F20"/>
        </w:rPr>
        <w:t xml:space="preserve">El Comité de Derechos Económicos Sociales y Culturales de las Naciones Unidas en la Observación General número 3, consideró que </w:t>
      </w:r>
      <w:r w:rsidRPr="00B514AD">
        <w:rPr>
          <w:rFonts w:ascii="Arial" w:hAnsi="Arial" w:cs="Arial"/>
          <w:i/>
          <w:color w:val="231F20"/>
        </w:rPr>
        <w:t xml:space="preserve">“(...) el concepto de realización progresiva constituye un reconocimiento del hecho de que  la plena realización de los derechos económicos, sociales y culturales generalmente no podrá lograrse en un periodo corto de tiempo”, </w:t>
      </w:r>
      <w:r w:rsidRPr="00B514AD">
        <w:rPr>
          <w:rFonts w:ascii="Arial" w:hAnsi="Arial" w:cs="Arial"/>
          <w:color w:val="231F20"/>
        </w:rPr>
        <w:t xml:space="preserve">no obstante, ello no significa  que  los  Estados  no se encuentren obligados a adoptar medidas de manera inmediata; y por tanto, </w:t>
      </w:r>
      <w:r w:rsidRPr="00B514AD">
        <w:rPr>
          <w:rFonts w:ascii="Arial" w:hAnsi="Arial" w:cs="Arial"/>
          <w:i/>
          <w:color w:val="231F20"/>
        </w:rPr>
        <w:t>“( ...) impone la obligación de moverse tan rápida y</w:t>
      </w:r>
      <w:r w:rsidRPr="00B514AD">
        <w:rPr>
          <w:rFonts w:ascii="Arial" w:hAnsi="Arial" w:cs="Arial"/>
          <w:i/>
          <w:color w:val="231F20"/>
          <w:spacing w:val="-26"/>
        </w:rPr>
        <w:t xml:space="preserve"> </w:t>
      </w:r>
      <w:r w:rsidRPr="00B514AD">
        <w:rPr>
          <w:rFonts w:ascii="Arial" w:hAnsi="Arial" w:cs="Arial"/>
          <w:i/>
          <w:color w:val="231F20"/>
        </w:rPr>
        <w:t xml:space="preserve">efectivamente como </w:t>
      </w:r>
      <w:r w:rsidRPr="00B514AD">
        <w:rPr>
          <w:rFonts w:ascii="Arial" w:hAnsi="Arial" w:cs="Arial"/>
          <w:color w:val="231F20"/>
        </w:rPr>
        <w:t xml:space="preserve">sea </w:t>
      </w:r>
      <w:r w:rsidRPr="00B514AD">
        <w:rPr>
          <w:rFonts w:ascii="Arial" w:hAnsi="Arial" w:cs="Arial"/>
          <w:i/>
          <w:color w:val="231F20"/>
        </w:rPr>
        <w:t xml:space="preserve">posible hacia la meta”, </w:t>
      </w:r>
      <w:r w:rsidRPr="00B514AD">
        <w:rPr>
          <w:rFonts w:ascii="Arial" w:hAnsi="Arial" w:cs="Arial"/>
          <w:color w:val="231F20"/>
        </w:rPr>
        <w:t xml:space="preserve">así como la adopción de medidas” (...) </w:t>
      </w:r>
      <w:r w:rsidRPr="00B514AD">
        <w:rPr>
          <w:rFonts w:ascii="Arial" w:hAnsi="Arial" w:cs="Arial"/>
          <w:i/>
          <w:color w:val="231F20"/>
        </w:rPr>
        <w:t>deliberadas,</w:t>
      </w:r>
      <w:r w:rsidRPr="00B514AD">
        <w:rPr>
          <w:rFonts w:ascii="Arial" w:hAnsi="Arial" w:cs="Arial"/>
          <w:i/>
          <w:color w:val="231F20"/>
          <w:spacing w:val="-22"/>
        </w:rPr>
        <w:t xml:space="preserve"> </w:t>
      </w:r>
      <w:r w:rsidRPr="00B514AD">
        <w:rPr>
          <w:rFonts w:ascii="Arial" w:hAnsi="Arial" w:cs="Arial"/>
          <w:i/>
          <w:color w:val="231F20"/>
        </w:rPr>
        <w:t>concretas y orientadas hacia el cumplimiento de las obligaciones reconocidas en el</w:t>
      </w:r>
      <w:r w:rsidRPr="00B514AD">
        <w:rPr>
          <w:rFonts w:ascii="Arial" w:hAnsi="Arial" w:cs="Arial"/>
          <w:i/>
          <w:color w:val="231F20"/>
          <w:spacing w:val="12"/>
        </w:rPr>
        <w:t xml:space="preserve"> </w:t>
      </w:r>
      <w:r w:rsidRPr="00B514AD">
        <w:rPr>
          <w:rFonts w:ascii="Arial" w:hAnsi="Arial" w:cs="Arial"/>
          <w:i/>
          <w:color w:val="231F20"/>
        </w:rPr>
        <w:t>Pacto”.</w:t>
      </w:r>
    </w:p>
    <w:p w:rsidR="00EC5F4C" w:rsidRPr="00B514AD" w:rsidRDefault="00EC5F4C" w:rsidP="00945315">
      <w:pPr>
        <w:pStyle w:val="Textoindependiente"/>
        <w:spacing w:before="70" w:line="225" w:lineRule="auto"/>
        <w:ind w:right="39"/>
        <w:jc w:val="both"/>
        <w:rPr>
          <w:rFonts w:ascii="Arial" w:hAnsi="Arial" w:cs="Arial"/>
        </w:rPr>
      </w:pPr>
      <w:r w:rsidRPr="00B514AD">
        <w:rPr>
          <w:rFonts w:ascii="Arial" w:hAnsi="Arial" w:cs="Arial"/>
          <w:color w:val="231F20"/>
        </w:rPr>
        <w:t xml:space="preserve">En general la comunidad internacional ha propendido por el desarrollo gradual de los contenidos prestacionales de los derechos económicos, sociales y culturales, y proscribe regresiones en el goce efectivo de manera injustificada.  </w:t>
      </w:r>
      <w:r w:rsidR="000174D2" w:rsidRPr="00B514AD">
        <w:rPr>
          <w:rFonts w:ascii="Arial" w:hAnsi="Arial" w:cs="Arial"/>
          <w:color w:val="231F20"/>
        </w:rPr>
        <w:t>Así, por ejemplo, el Principio</w:t>
      </w:r>
      <w:r w:rsidRPr="00B514AD">
        <w:rPr>
          <w:rFonts w:ascii="Arial" w:hAnsi="Arial" w:cs="Arial"/>
          <w:color w:val="231F20"/>
          <w:spacing w:val="15"/>
        </w:rPr>
        <w:t xml:space="preserve"> </w:t>
      </w:r>
      <w:r w:rsidRPr="00B514AD">
        <w:rPr>
          <w:rFonts w:ascii="Arial" w:hAnsi="Arial" w:cs="Arial"/>
          <w:color w:val="231F20"/>
        </w:rPr>
        <w:t>14</w:t>
      </w:r>
      <w:r w:rsidR="00945315">
        <w:rPr>
          <w:rFonts w:ascii="Arial" w:hAnsi="Arial" w:cs="Arial"/>
          <w:color w:val="231F20"/>
        </w:rPr>
        <w:t xml:space="preserve"> </w:t>
      </w:r>
      <w:r w:rsidRPr="00B514AD">
        <w:rPr>
          <w:rFonts w:ascii="Arial" w:hAnsi="Arial" w:cs="Arial"/>
          <w:color w:val="231F20"/>
        </w:rPr>
        <w:t xml:space="preserve">b) de los Principios de Maastricht señala que se produce una violación del Pacto con actuaciones tales como </w:t>
      </w:r>
      <w:r w:rsidRPr="00B514AD">
        <w:rPr>
          <w:rFonts w:ascii="Arial" w:hAnsi="Arial" w:cs="Arial"/>
          <w:i/>
          <w:color w:val="231F20"/>
        </w:rPr>
        <w:t xml:space="preserve">“la derogación o suspensión de la legislación necesaria para el goce continuo de un derecho económico, social y cultural del que ya </w:t>
      </w:r>
      <w:r w:rsidRPr="00B514AD">
        <w:rPr>
          <w:rFonts w:ascii="Arial" w:hAnsi="Arial" w:cs="Arial"/>
          <w:color w:val="231F20"/>
        </w:rPr>
        <w:t xml:space="preserve">se </w:t>
      </w:r>
      <w:r w:rsidRPr="00B514AD">
        <w:rPr>
          <w:rFonts w:ascii="Arial" w:hAnsi="Arial" w:cs="Arial"/>
          <w:i/>
          <w:color w:val="231F20"/>
        </w:rPr>
        <w:t xml:space="preserve">goza”. </w:t>
      </w:r>
      <w:r w:rsidRPr="00B514AD">
        <w:rPr>
          <w:rFonts w:ascii="Arial" w:hAnsi="Arial" w:cs="Arial"/>
          <w:color w:val="231F20"/>
        </w:rPr>
        <w:t xml:space="preserve">Otros eventos en los que se presenta una situación regresiva fueron descritos en la Sentencia C-507 de 2008, en la cual se señaló que se presenta regresión en la protección de los derechos cuando se da la disminución del radio de protección de </w:t>
      </w:r>
      <w:r w:rsidR="000174D2" w:rsidRPr="00B514AD">
        <w:rPr>
          <w:rFonts w:ascii="Arial" w:hAnsi="Arial" w:cs="Arial"/>
          <w:color w:val="231F20"/>
        </w:rPr>
        <w:t>un derecho social</w:t>
      </w:r>
      <w:r w:rsidRPr="00B514AD">
        <w:rPr>
          <w:rFonts w:ascii="Arial" w:hAnsi="Arial" w:cs="Arial"/>
          <w:color w:val="231F20"/>
        </w:rPr>
        <w:t xml:space="preserve">.  </w:t>
      </w:r>
      <w:r w:rsidR="000174D2" w:rsidRPr="00B514AD">
        <w:rPr>
          <w:rFonts w:ascii="Arial" w:hAnsi="Arial" w:cs="Arial"/>
          <w:color w:val="231F20"/>
        </w:rPr>
        <w:t>En otras</w:t>
      </w:r>
      <w:r w:rsidRPr="00B514AD">
        <w:rPr>
          <w:rFonts w:ascii="Arial" w:hAnsi="Arial" w:cs="Arial"/>
          <w:color w:val="231F20"/>
        </w:rPr>
        <w:t>, se ha referido a la violación de esta garantía constitucional, por la disminución de los recursos públicos   invertidos   en   la   satisfacción   de</w:t>
      </w:r>
      <w:r w:rsidRPr="00B514AD">
        <w:rPr>
          <w:rFonts w:ascii="Arial" w:hAnsi="Arial" w:cs="Arial"/>
          <w:color w:val="231F20"/>
          <w:spacing w:val="31"/>
        </w:rPr>
        <w:t xml:space="preserve"> </w:t>
      </w:r>
      <w:r w:rsidRPr="00B514AD">
        <w:rPr>
          <w:rFonts w:ascii="Arial" w:hAnsi="Arial" w:cs="Arial"/>
          <w:color w:val="231F20"/>
        </w:rPr>
        <w:t>un</w:t>
      </w:r>
      <w:r w:rsidR="00953CE8" w:rsidRPr="00B514AD">
        <w:rPr>
          <w:rFonts w:ascii="Arial" w:hAnsi="Arial" w:cs="Arial"/>
          <w:color w:val="231F20"/>
        </w:rPr>
        <w:t xml:space="preserve"> </w:t>
      </w:r>
      <w:r w:rsidRPr="00B514AD">
        <w:rPr>
          <w:rFonts w:ascii="Arial" w:hAnsi="Arial" w:cs="Arial"/>
          <w:color w:val="231F20"/>
        </w:rPr>
        <w:t>derecho social (Sentencia C-1165 de 2000) o el aumento significativo del costo para la persona</w:t>
      </w:r>
      <w:r w:rsidRPr="00B514AD">
        <w:rPr>
          <w:rFonts w:ascii="Arial" w:hAnsi="Arial" w:cs="Arial"/>
          <w:color w:val="231F20"/>
          <w:spacing w:val="-42"/>
        </w:rPr>
        <w:t xml:space="preserve"> </w:t>
      </w:r>
      <w:r w:rsidRPr="00B514AD">
        <w:rPr>
          <w:rFonts w:ascii="Arial" w:hAnsi="Arial" w:cs="Arial"/>
          <w:color w:val="231F20"/>
        </w:rPr>
        <w:t>de escasos</w:t>
      </w:r>
      <w:r w:rsidRPr="00B514AD">
        <w:rPr>
          <w:rFonts w:ascii="Arial" w:hAnsi="Arial" w:cs="Arial"/>
          <w:color w:val="231F20"/>
          <w:spacing w:val="-8"/>
        </w:rPr>
        <w:t xml:space="preserve"> </w:t>
      </w:r>
      <w:r w:rsidRPr="00B514AD">
        <w:rPr>
          <w:rFonts w:ascii="Arial" w:hAnsi="Arial" w:cs="Arial"/>
          <w:color w:val="231F20"/>
        </w:rPr>
        <w:t>recursos</w:t>
      </w:r>
      <w:r w:rsidRPr="00B514AD">
        <w:rPr>
          <w:rFonts w:ascii="Arial" w:hAnsi="Arial" w:cs="Arial"/>
          <w:color w:val="231F20"/>
          <w:spacing w:val="-8"/>
        </w:rPr>
        <w:t xml:space="preserve"> </w:t>
      </w:r>
      <w:r w:rsidRPr="00B514AD">
        <w:rPr>
          <w:rFonts w:ascii="Arial" w:hAnsi="Arial" w:cs="Arial"/>
          <w:color w:val="231F20"/>
        </w:rPr>
        <w:t>que</w:t>
      </w:r>
      <w:r w:rsidRPr="00B514AD">
        <w:rPr>
          <w:rFonts w:ascii="Arial" w:hAnsi="Arial" w:cs="Arial"/>
          <w:color w:val="231F20"/>
          <w:spacing w:val="-8"/>
        </w:rPr>
        <w:t xml:space="preserve"> </w:t>
      </w:r>
      <w:r w:rsidRPr="00B514AD">
        <w:rPr>
          <w:rFonts w:ascii="Arial" w:hAnsi="Arial" w:cs="Arial"/>
          <w:color w:val="231F20"/>
        </w:rPr>
        <w:t>está</w:t>
      </w:r>
      <w:r w:rsidRPr="00B514AD">
        <w:rPr>
          <w:rFonts w:ascii="Arial" w:hAnsi="Arial" w:cs="Arial"/>
          <w:color w:val="231F20"/>
          <w:spacing w:val="-8"/>
        </w:rPr>
        <w:t xml:space="preserve"> </w:t>
      </w:r>
      <w:r w:rsidRPr="00B514AD">
        <w:rPr>
          <w:rFonts w:ascii="Arial" w:hAnsi="Arial" w:cs="Arial"/>
          <w:color w:val="231F20"/>
        </w:rPr>
        <w:t>en</w:t>
      </w:r>
      <w:r w:rsidRPr="00B514AD">
        <w:rPr>
          <w:rFonts w:ascii="Arial" w:hAnsi="Arial" w:cs="Arial"/>
          <w:color w:val="231F20"/>
          <w:spacing w:val="-8"/>
        </w:rPr>
        <w:t xml:space="preserve"> </w:t>
      </w:r>
      <w:r w:rsidRPr="00B514AD">
        <w:rPr>
          <w:rFonts w:ascii="Arial" w:hAnsi="Arial" w:cs="Arial"/>
          <w:color w:val="231F20"/>
        </w:rPr>
        <w:t>proceso</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rPr>
        <w:t>acceder</w:t>
      </w:r>
      <w:r w:rsidRPr="00B514AD">
        <w:rPr>
          <w:rFonts w:ascii="Arial" w:hAnsi="Arial" w:cs="Arial"/>
          <w:color w:val="231F20"/>
          <w:spacing w:val="-8"/>
        </w:rPr>
        <w:t xml:space="preserve"> </w:t>
      </w:r>
      <w:r w:rsidRPr="00B514AD">
        <w:rPr>
          <w:rFonts w:ascii="Arial" w:hAnsi="Arial" w:cs="Arial"/>
          <w:color w:val="231F20"/>
        </w:rPr>
        <w:t xml:space="preserve">al derecho (Sentencia </w:t>
      </w:r>
      <w:r w:rsidRPr="00B514AD">
        <w:rPr>
          <w:rFonts w:ascii="Arial" w:hAnsi="Arial" w:cs="Arial"/>
          <w:color w:val="231F20"/>
          <w:spacing w:val="-3"/>
        </w:rPr>
        <w:t xml:space="preserve">T-1318 </w:t>
      </w:r>
      <w:r w:rsidRPr="00B514AD">
        <w:rPr>
          <w:rFonts w:ascii="Arial" w:hAnsi="Arial" w:cs="Arial"/>
          <w:color w:val="231F20"/>
        </w:rPr>
        <w:t>de 2005). En otro tipo de decisiones la Corte ha reiterado la aplicación del principio de progresividad y la prohibición  de regresividad cuando se está frente a sectores especialmente vulnerables de la</w:t>
      </w:r>
      <w:r w:rsidRPr="00B514AD">
        <w:rPr>
          <w:rFonts w:ascii="Arial" w:hAnsi="Arial" w:cs="Arial"/>
          <w:color w:val="231F20"/>
          <w:spacing w:val="20"/>
        </w:rPr>
        <w:t xml:space="preserve"> </w:t>
      </w:r>
      <w:r w:rsidRPr="00B514AD">
        <w:rPr>
          <w:rFonts w:ascii="Arial" w:hAnsi="Arial" w:cs="Arial"/>
          <w:color w:val="231F20"/>
        </w:rPr>
        <w:t>población</w:t>
      </w:r>
      <w:r w:rsidR="00B514AD" w:rsidRPr="00B514AD">
        <w:rPr>
          <w:rStyle w:val="Refdenotaalpie"/>
          <w:rFonts w:ascii="Arial" w:hAnsi="Arial" w:cs="Arial"/>
          <w:color w:val="231F20"/>
        </w:rPr>
        <w:footnoteReference w:id="12"/>
      </w:r>
      <w:r w:rsidRPr="00B514AD">
        <w:rPr>
          <w:rFonts w:ascii="Arial" w:hAnsi="Arial" w:cs="Arial"/>
          <w:color w:val="231F20"/>
          <w:position w:val="1"/>
        </w:rPr>
        <w:t>.</w:t>
      </w:r>
    </w:p>
    <w:p w:rsidR="00EC5F4C" w:rsidRPr="00B514AD" w:rsidRDefault="00EC5F4C" w:rsidP="00017F19">
      <w:pPr>
        <w:pStyle w:val="Textoindependiente"/>
        <w:spacing w:before="77" w:line="225" w:lineRule="auto"/>
        <w:ind w:right="158" w:firstLine="283"/>
        <w:jc w:val="both"/>
        <w:rPr>
          <w:rFonts w:ascii="Arial" w:hAnsi="Arial" w:cs="Arial"/>
        </w:rPr>
      </w:pPr>
      <w:r w:rsidRPr="00B514AD">
        <w:rPr>
          <w:rFonts w:ascii="Arial" w:hAnsi="Arial" w:cs="Arial"/>
          <w:color w:val="231F20"/>
        </w:rPr>
        <w:t>El mandato de progresividad implica</w:t>
      </w:r>
      <w:r w:rsidRPr="00B514AD">
        <w:rPr>
          <w:rFonts w:ascii="Arial" w:hAnsi="Arial" w:cs="Arial"/>
          <w:color w:val="231F20"/>
          <w:spacing w:val="46"/>
        </w:rPr>
        <w:t xml:space="preserve"> </w:t>
      </w:r>
      <w:r w:rsidRPr="00B514AD">
        <w:rPr>
          <w:rFonts w:ascii="Arial" w:hAnsi="Arial" w:cs="Arial"/>
          <w:color w:val="231F20"/>
        </w:rPr>
        <w:t xml:space="preserve">varios tipos de obligaciones para el </w:t>
      </w:r>
      <w:r w:rsidRPr="00B514AD">
        <w:rPr>
          <w:rFonts w:ascii="Arial" w:hAnsi="Arial" w:cs="Arial"/>
          <w:color w:val="231F20"/>
        </w:rPr>
        <w:lastRenderedPageBreak/>
        <w:t xml:space="preserve">Estado. </w:t>
      </w:r>
      <w:r w:rsidR="000174D2" w:rsidRPr="00B514AD">
        <w:rPr>
          <w:rFonts w:ascii="Arial" w:hAnsi="Arial" w:cs="Arial"/>
          <w:color w:val="231F20"/>
        </w:rPr>
        <w:t>De un lado</w:t>
      </w:r>
      <w:r w:rsidRPr="00B514AD">
        <w:rPr>
          <w:rFonts w:ascii="Arial" w:hAnsi="Arial" w:cs="Arial"/>
          <w:color w:val="231F20"/>
        </w:rPr>
        <w:t>, se halla la de mejorar los resultados de las políticas públicas en términos de goce efectivo</w:t>
      </w:r>
      <w:r w:rsidRPr="00B514AD">
        <w:rPr>
          <w:rFonts w:ascii="Arial" w:hAnsi="Arial" w:cs="Arial"/>
          <w:color w:val="231F20"/>
          <w:spacing w:val="-22"/>
        </w:rPr>
        <w:t xml:space="preserve"> </w:t>
      </w:r>
      <w:r w:rsidRPr="00B514AD">
        <w:rPr>
          <w:rFonts w:ascii="Arial" w:hAnsi="Arial" w:cs="Arial"/>
          <w:color w:val="231F20"/>
        </w:rPr>
        <w:t>de los</w:t>
      </w:r>
      <w:r w:rsidRPr="00B514AD">
        <w:rPr>
          <w:rFonts w:ascii="Arial" w:hAnsi="Arial" w:cs="Arial"/>
          <w:color w:val="231F20"/>
          <w:spacing w:val="-7"/>
        </w:rPr>
        <w:t xml:space="preserve"> </w:t>
      </w:r>
      <w:r w:rsidRPr="00B514AD">
        <w:rPr>
          <w:rFonts w:ascii="Arial" w:hAnsi="Arial" w:cs="Arial"/>
          <w:color w:val="231F20"/>
        </w:rPr>
        <w:t>derechos.</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otro</w:t>
      </w:r>
      <w:r w:rsidRPr="00B514AD">
        <w:rPr>
          <w:rFonts w:ascii="Arial" w:hAnsi="Arial" w:cs="Arial"/>
          <w:color w:val="231F20"/>
          <w:spacing w:val="-6"/>
        </w:rPr>
        <w:t xml:space="preserve"> </w:t>
      </w:r>
      <w:r w:rsidRPr="00B514AD">
        <w:rPr>
          <w:rFonts w:ascii="Arial" w:hAnsi="Arial" w:cs="Arial"/>
          <w:color w:val="231F20"/>
        </w:rPr>
        <w:t>lado,</w:t>
      </w:r>
      <w:r w:rsidRPr="00B514AD">
        <w:rPr>
          <w:rFonts w:ascii="Arial" w:hAnsi="Arial" w:cs="Arial"/>
          <w:color w:val="231F20"/>
          <w:spacing w:val="-7"/>
        </w:rPr>
        <w:t xml:space="preserve"> </w:t>
      </w:r>
      <w:r w:rsidRPr="00B514AD">
        <w:rPr>
          <w:rFonts w:ascii="Arial" w:hAnsi="Arial" w:cs="Arial"/>
          <w:color w:val="231F20"/>
        </w:rPr>
        <w:t>desde</w:t>
      </w:r>
      <w:r w:rsidRPr="00B514AD">
        <w:rPr>
          <w:rFonts w:ascii="Arial" w:hAnsi="Arial" w:cs="Arial"/>
          <w:color w:val="231F20"/>
          <w:spacing w:val="-6"/>
        </w:rPr>
        <w:t xml:space="preserve"> </w:t>
      </w:r>
      <w:r w:rsidRPr="00B514AD">
        <w:rPr>
          <w:rFonts w:ascii="Arial" w:hAnsi="Arial" w:cs="Arial"/>
          <w:color w:val="231F20"/>
        </w:rPr>
        <w:t>el</w:t>
      </w:r>
      <w:r w:rsidRPr="00B514AD">
        <w:rPr>
          <w:rFonts w:ascii="Arial" w:hAnsi="Arial" w:cs="Arial"/>
          <w:color w:val="231F20"/>
          <w:spacing w:val="-7"/>
        </w:rPr>
        <w:t xml:space="preserve"> </w:t>
      </w:r>
      <w:r w:rsidRPr="00B514AD">
        <w:rPr>
          <w:rFonts w:ascii="Arial" w:hAnsi="Arial" w:cs="Arial"/>
          <w:color w:val="231F20"/>
        </w:rPr>
        <w:t>punto</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vista normativo, el Estado debe introducir normas que extiendan la satisfacción de los derechos y debe abstenerse de modificar la normativa vigente para limitar, suprimir o restringir los derechos o garantías ya reconocidas (Corte Constitucional, Sentencia C-767 de</w:t>
      </w:r>
      <w:r w:rsidRPr="00B514AD">
        <w:rPr>
          <w:rFonts w:ascii="Arial" w:hAnsi="Arial" w:cs="Arial"/>
          <w:color w:val="231F20"/>
          <w:spacing w:val="7"/>
        </w:rPr>
        <w:t xml:space="preserve"> </w:t>
      </w:r>
      <w:r w:rsidRPr="00B514AD">
        <w:rPr>
          <w:rFonts w:ascii="Arial" w:hAnsi="Arial" w:cs="Arial"/>
          <w:color w:val="231F20"/>
        </w:rPr>
        <w:t>2014).</w:t>
      </w:r>
    </w:p>
    <w:p w:rsidR="00EC5F4C" w:rsidRPr="00B514AD" w:rsidRDefault="00EC5F4C" w:rsidP="00017F19">
      <w:pPr>
        <w:pStyle w:val="Textoindependiente"/>
        <w:spacing w:before="72" w:line="225" w:lineRule="auto"/>
        <w:ind w:right="158" w:firstLine="283"/>
        <w:jc w:val="both"/>
        <w:rPr>
          <w:rFonts w:ascii="Arial" w:hAnsi="Arial" w:cs="Arial"/>
        </w:rPr>
      </w:pPr>
      <w:r w:rsidRPr="00B514AD">
        <w:rPr>
          <w:rFonts w:ascii="Arial" w:hAnsi="Arial" w:cs="Arial"/>
          <w:color w:val="231F20"/>
        </w:rPr>
        <w:t xml:space="preserve">Ello implica entonces deberes concretos para el Estado referidos a la adopción de un plan de acción o un programa para la ampliación de los contenidos prestacionales del derecho con miras a lograr su goce efectivo. Al respecto, la Corte señaló en la Sentencia </w:t>
      </w:r>
      <w:r w:rsidRPr="00B514AD">
        <w:rPr>
          <w:rFonts w:ascii="Arial" w:hAnsi="Arial" w:cs="Arial"/>
          <w:color w:val="231F20"/>
          <w:spacing w:val="-4"/>
        </w:rPr>
        <w:t xml:space="preserve">T-595 </w:t>
      </w:r>
      <w:r w:rsidRPr="00B514AD">
        <w:rPr>
          <w:rFonts w:ascii="Arial" w:hAnsi="Arial" w:cs="Arial"/>
          <w:color w:val="231F20"/>
        </w:rPr>
        <w:t xml:space="preserve">de 2002: que lo mínimo que debe hacer la autoridad responsable para proteger la prestación de carácter programático derivada de la dimensión positiva de un derecho fundamental en un Estado Social de Derecho y en una democracia participativa, es, precisamente, contar con un programa o con un plan encaminado a asegurar el goce efectivo de sus derechos. De igual manera, comprende la prohibición de disminuir o desviar sensiblemente los recursos públicos invertidos en la satisfacción de un derecho. En tercer lugar, proscribe aumentar significativamente el costo para acceder a un servicio necesario para </w:t>
      </w:r>
      <w:r w:rsidR="000174D2" w:rsidRPr="00B514AD">
        <w:rPr>
          <w:rFonts w:ascii="Arial" w:hAnsi="Arial" w:cs="Arial"/>
          <w:color w:val="231F20"/>
        </w:rPr>
        <w:t>garantizar un</w:t>
      </w:r>
      <w:r w:rsidRPr="00B514AD">
        <w:rPr>
          <w:rFonts w:ascii="Arial" w:hAnsi="Arial" w:cs="Arial"/>
          <w:color w:val="231F20"/>
        </w:rPr>
        <w:t xml:space="preserve"> derecho, especialmente para las personas de escasos recursos. En cuarto lugar, el principio obliga al Estado a no incrementar los requisitos para la satisfacción del respectivo derecho (Corte Constitucional, Sentencia C-767 de</w:t>
      </w:r>
      <w:r w:rsidRPr="00B514AD">
        <w:rPr>
          <w:rFonts w:ascii="Arial" w:hAnsi="Arial" w:cs="Arial"/>
          <w:color w:val="231F20"/>
          <w:spacing w:val="17"/>
        </w:rPr>
        <w:t xml:space="preserve"> </w:t>
      </w:r>
      <w:r w:rsidRPr="00B514AD">
        <w:rPr>
          <w:rFonts w:ascii="Arial" w:hAnsi="Arial" w:cs="Arial"/>
          <w:color w:val="231F20"/>
        </w:rPr>
        <w:t>2014).</w:t>
      </w:r>
    </w:p>
    <w:p w:rsidR="00EC5F4C" w:rsidRPr="00B514AD" w:rsidRDefault="00EC5F4C" w:rsidP="00953CE8">
      <w:pPr>
        <w:pStyle w:val="Textoindependiente"/>
        <w:spacing w:before="57" w:line="225" w:lineRule="auto"/>
        <w:ind w:right="157" w:firstLine="283"/>
        <w:jc w:val="both"/>
        <w:rPr>
          <w:rFonts w:ascii="Arial" w:hAnsi="Arial" w:cs="Arial"/>
        </w:rPr>
      </w:pPr>
      <w:r w:rsidRPr="00B514AD">
        <w:rPr>
          <w:rFonts w:ascii="Arial" w:hAnsi="Arial" w:cs="Arial"/>
          <w:color w:val="231F20"/>
        </w:rPr>
        <w:t xml:space="preserve">Cabe señalar que este principio </w:t>
      </w:r>
      <w:r w:rsidR="000174D2" w:rsidRPr="00B514AD">
        <w:rPr>
          <w:rFonts w:ascii="Arial" w:hAnsi="Arial" w:cs="Arial"/>
          <w:color w:val="231F20"/>
        </w:rPr>
        <w:t>no implica</w:t>
      </w:r>
      <w:r w:rsidRPr="00B514AD">
        <w:rPr>
          <w:rFonts w:ascii="Arial" w:hAnsi="Arial" w:cs="Arial"/>
          <w:color w:val="231F20"/>
        </w:rPr>
        <w:t xml:space="preserve"> una prohibición absoluta de adoptar medidas regresivas; se trata de una prohibición prima facie, </w:t>
      </w:r>
      <w:r w:rsidR="000174D2" w:rsidRPr="00B514AD">
        <w:rPr>
          <w:rFonts w:ascii="Arial" w:hAnsi="Arial" w:cs="Arial"/>
          <w:color w:val="231F20"/>
        </w:rPr>
        <w:t>pues tales medidas pueden tener lugar al</w:t>
      </w:r>
      <w:r w:rsidRPr="00B514AD">
        <w:rPr>
          <w:rFonts w:ascii="Arial" w:hAnsi="Arial" w:cs="Arial"/>
          <w:color w:val="231F20"/>
        </w:rPr>
        <w:t xml:space="preserve"> amparo de la Carta, siempre y cuando se encuentren debidamente justificadas en términos de realización de otros derechos fundamentales   y</w:t>
      </w:r>
      <w:r w:rsidRPr="00B514AD">
        <w:rPr>
          <w:rFonts w:ascii="Arial" w:hAnsi="Arial" w:cs="Arial"/>
          <w:color w:val="231F20"/>
          <w:spacing w:val="26"/>
        </w:rPr>
        <w:t xml:space="preserve"> </w:t>
      </w:r>
      <w:r w:rsidRPr="00B514AD">
        <w:rPr>
          <w:rFonts w:ascii="Arial" w:hAnsi="Arial" w:cs="Arial"/>
          <w:color w:val="231F20"/>
        </w:rPr>
        <w:t>después</w:t>
      </w:r>
      <w:r w:rsidRPr="00B514AD">
        <w:rPr>
          <w:rFonts w:ascii="Arial" w:hAnsi="Arial" w:cs="Arial"/>
          <w:color w:val="231F20"/>
          <w:spacing w:val="27"/>
        </w:rPr>
        <w:t xml:space="preserve"> </w:t>
      </w:r>
      <w:r w:rsidRPr="00B514AD">
        <w:rPr>
          <w:rFonts w:ascii="Arial" w:hAnsi="Arial" w:cs="Arial"/>
          <w:color w:val="231F20"/>
        </w:rPr>
        <w:t>de</w:t>
      </w:r>
      <w:r w:rsidRPr="00B514AD">
        <w:rPr>
          <w:rFonts w:ascii="Arial" w:hAnsi="Arial" w:cs="Arial"/>
          <w:color w:val="231F20"/>
          <w:spacing w:val="27"/>
        </w:rPr>
        <w:t xml:space="preserve"> </w:t>
      </w:r>
      <w:r w:rsidRPr="00B514AD">
        <w:rPr>
          <w:rFonts w:ascii="Arial" w:hAnsi="Arial" w:cs="Arial"/>
          <w:color w:val="231F20"/>
        </w:rPr>
        <w:t>un</w:t>
      </w:r>
      <w:r w:rsidRPr="00B514AD">
        <w:rPr>
          <w:rFonts w:ascii="Arial" w:hAnsi="Arial" w:cs="Arial"/>
          <w:color w:val="231F20"/>
          <w:spacing w:val="27"/>
        </w:rPr>
        <w:t xml:space="preserve"> </w:t>
      </w:r>
      <w:r w:rsidRPr="00B514AD">
        <w:rPr>
          <w:rFonts w:ascii="Arial" w:hAnsi="Arial" w:cs="Arial"/>
          <w:color w:val="231F20"/>
        </w:rPr>
        <w:t>exhaustivo</w:t>
      </w:r>
      <w:r w:rsidRPr="00B514AD">
        <w:rPr>
          <w:rFonts w:ascii="Arial" w:hAnsi="Arial" w:cs="Arial"/>
          <w:color w:val="231F20"/>
          <w:spacing w:val="27"/>
        </w:rPr>
        <w:t xml:space="preserve"> </w:t>
      </w:r>
      <w:r w:rsidRPr="00B514AD">
        <w:rPr>
          <w:rFonts w:ascii="Arial" w:hAnsi="Arial" w:cs="Arial"/>
          <w:color w:val="231F20"/>
        </w:rPr>
        <w:t>análisis</w:t>
      </w:r>
      <w:r w:rsidRPr="00B514AD">
        <w:rPr>
          <w:rFonts w:ascii="Arial" w:hAnsi="Arial" w:cs="Arial"/>
          <w:color w:val="231F20"/>
          <w:spacing w:val="27"/>
        </w:rPr>
        <w:t xml:space="preserve"> </w:t>
      </w:r>
      <w:r w:rsidRPr="00B514AD">
        <w:rPr>
          <w:rFonts w:ascii="Arial" w:hAnsi="Arial" w:cs="Arial"/>
          <w:color w:val="231F20"/>
        </w:rPr>
        <w:t>de</w:t>
      </w:r>
      <w:r w:rsidRPr="00B514AD">
        <w:rPr>
          <w:rFonts w:ascii="Arial" w:hAnsi="Arial" w:cs="Arial"/>
          <w:color w:val="231F20"/>
          <w:spacing w:val="27"/>
        </w:rPr>
        <w:t xml:space="preserve"> </w:t>
      </w:r>
      <w:r w:rsidRPr="00B514AD">
        <w:rPr>
          <w:rFonts w:ascii="Arial" w:hAnsi="Arial" w:cs="Arial"/>
          <w:color w:val="231F20"/>
        </w:rPr>
        <w:t>las</w:t>
      </w:r>
      <w:r w:rsidRPr="00B514AD">
        <w:rPr>
          <w:rFonts w:ascii="Arial" w:hAnsi="Arial" w:cs="Arial"/>
          <w:color w:val="231F20"/>
          <w:spacing w:val="27"/>
        </w:rPr>
        <w:t xml:space="preserve"> </w:t>
      </w:r>
      <w:r w:rsidRPr="00B514AD">
        <w:rPr>
          <w:rFonts w:ascii="Arial" w:hAnsi="Arial" w:cs="Arial"/>
          <w:color w:val="231F20"/>
        </w:rPr>
        <w:t>otras</w:t>
      </w:r>
      <w:r w:rsidR="00953CE8" w:rsidRPr="00B514AD">
        <w:rPr>
          <w:rFonts w:ascii="Arial" w:hAnsi="Arial" w:cs="Arial"/>
          <w:color w:val="231F20"/>
        </w:rPr>
        <w:t xml:space="preserve"> </w:t>
      </w:r>
      <w:r w:rsidRPr="00B514AD">
        <w:rPr>
          <w:rFonts w:ascii="Arial" w:hAnsi="Arial" w:cs="Arial"/>
          <w:color w:val="231F20"/>
        </w:rPr>
        <w:t>opciones disponibles. En este sentido, en la Sentencia</w:t>
      </w:r>
      <w:r w:rsidRPr="00B514AD">
        <w:rPr>
          <w:rFonts w:ascii="Arial" w:hAnsi="Arial" w:cs="Arial"/>
          <w:color w:val="231F20"/>
          <w:spacing w:val="-8"/>
        </w:rPr>
        <w:t xml:space="preserve"> </w:t>
      </w:r>
      <w:r w:rsidRPr="00B514AD">
        <w:rPr>
          <w:rFonts w:ascii="Arial" w:hAnsi="Arial" w:cs="Arial"/>
          <w:color w:val="231F20"/>
        </w:rPr>
        <w:t>C-1141</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2008,</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7"/>
        </w:rPr>
        <w:t xml:space="preserve"> </w:t>
      </w:r>
      <w:r w:rsidRPr="00B514AD">
        <w:rPr>
          <w:rFonts w:ascii="Arial" w:hAnsi="Arial" w:cs="Arial"/>
          <w:color w:val="231F20"/>
        </w:rPr>
        <w:t>Corte</w:t>
      </w:r>
      <w:r w:rsidRPr="00B514AD">
        <w:rPr>
          <w:rFonts w:ascii="Arial" w:hAnsi="Arial" w:cs="Arial"/>
          <w:color w:val="231F20"/>
          <w:spacing w:val="-7"/>
        </w:rPr>
        <w:t xml:space="preserve"> </w:t>
      </w:r>
      <w:r w:rsidRPr="00B514AD">
        <w:rPr>
          <w:rFonts w:ascii="Arial" w:hAnsi="Arial" w:cs="Arial"/>
          <w:color w:val="231F20"/>
        </w:rPr>
        <w:t>precisó</w:t>
      </w:r>
      <w:r w:rsidRPr="00B514AD">
        <w:rPr>
          <w:rFonts w:ascii="Arial" w:hAnsi="Arial" w:cs="Arial"/>
          <w:color w:val="231F20"/>
          <w:spacing w:val="-7"/>
        </w:rPr>
        <w:t xml:space="preserve"> </w:t>
      </w:r>
      <w:r w:rsidRPr="00B514AD">
        <w:rPr>
          <w:rFonts w:ascii="Arial" w:hAnsi="Arial" w:cs="Arial"/>
          <w:color w:val="231F20"/>
        </w:rPr>
        <w:t>que</w:t>
      </w:r>
      <w:r w:rsidRPr="00B514AD">
        <w:rPr>
          <w:rFonts w:ascii="Arial" w:hAnsi="Arial" w:cs="Arial"/>
          <w:color w:val="231F20"/>
          <w:spacing w:val="-7"/>
        </w:rPr>
        <w:t xml:space="preserve"> </w:t>
      </w:r>
      <w:r w:rsidRPr="00B514AD">
        <w:rPr>
          <w:rFonts w:ascii="Arial" w:hAnsi="Arial" w:cs="Arial"/>
          <w:color w:val="231F20"/>
        </w:rPr>
        <w:t>la cláusula de no retroceso en definitiva supone que una vez logrados ciertos avances en la</w:t>
      </w:r>
      <w:r w:rsidRPr="00B514AD">
        <w:rPr>
          <w:rFonts w:ascii="Arial" w:hAnsi="Arial" w:cs="Arial"/>
          <w:color w:val="231F20"/>
          <w:spacing w:val="-16"/>
        </w:rPr>
        <w:t xml:space="preserve"> </w:t>
      </w:r>
      <w:r w:rsidRPr="00B514AD">
        <w:rPr>
          <w:rFonts w:ascii="Arial" w:hAnsi="Arial" w:cs="Arial"/>
          <w:color w:val="231F20"/>
        </w:rPr>
        <w:t>concreción de los derechos, las condiciones preestablecidas no pueden ser desmejoradas sin el cumplimiento de una rigurosa carga justificativa por las autoridades competentes (Corte Constitucional, Sentencia C-767 de</w:t>
      </w:r>
      <w:r w:rsidRPr="00B514AD">
        <w:rPr>
          <w:rFonts w:ascii="Arial" w:hAnsi="Arial" w:cs="Arial"/>
          <w:color w:val="231F20"/>
          <w:spacing w:val="7"/>
        </w:rPr>
        <w:t xml:space="preserve"> </w:t>
      </w:r>
      <w:r w:rsidRPr="00B514AD">
        <w:rPr>
          <w:rFonts w:ascii="Arial" w:hAnsi="Arial" w:cs="Arial"/>
          <w:color w:val="231F20"/>
        </w:rPr>
        <w:t>2014).</w:t>
      </w:r>
    </w:p>
    <w:p w:rsidR="00EC5F4C" w:rsidRPr="00B514AD" w:rsidRDefault="00EC5F4C" w:rsidP="00017F19">
      <w:pPr>
        <w:pStyle w:val="Textoindependiente"/>
        <w:spacing w:before="88" w:line="223" w:lineRule="auto"/>
        <w:ind w:right="38" w:firstLine="283"/>
        <w:jc w:val="both"/>
        <w:rPr>
          <w:rFonts w:ascii="Arial" w:hAnsi="Arial" w:cs="Arial"/>
        </w:rPr>
      </w:pPr>
      <w:r w:rsidRPr="00B514AD">
        <w:rPr>
          <w:rFonts w:ascii="Arial" w:hAnsi="Arial" w:cs="Arial"/>
          <w:color w:val="231F20"/>
        </w:rPr>
        <w:t>Ahora bien, ¿La pérdida de vigencia de la Ley 1448 de 2011 puede considerarse una medida regresiva de los derechos de las víctimas? En principio, la pérdida de vigencia de una ley como la Ley 1448 de 2011 no se consideraría como regresiva, pues precisamente fue pensada como una medida temporal (por eso se fijó un término expreso para su  pérdida  de  vigencia),  además la naturaleza propia de las leyes amparadas en   el marco de justicia transicional es su carácter temporal, pues precisamente contemplan</w:t>
      </w:r>
      <w:r w:rsidRPr="00B514AD">
        <w:rPr>
          <w:rFonts w:ascii="Arial" w:hAnsi="Arial" w:cs="Arial"/>
          <w:color w:val="231F20"/>
          <w:spacing w:val="-22"/>
        </w:rPr>
        <w:t xml:space="preserve"> </w:t>
      </w:r>
      <w:r w:rsidRPr="00B514AD">
        <w:rPr>
          <w:rFonts w:ascii="Arial" w:hAnsi="Arial" w:cs="Arial"/>
          <w:color w:val="231F20"/>
        </w:rPr>
        <w:t>medidas especiales y transitorias que permiten dar  el  paso de una situación de conflicto y violación masiva de los derechos humanos a una situación de consolidación de un modelo democrático y garante de los</w:t>
      </w:r>
      <w:r w:rsidRPr="00B514AD">
        <w:rPr>
          <w:rFonts w:ascii="Arial" w:hAnsi="Arial" w:cs="Arial"/>
          <w:color w:val="231F20"/>
          <w:spacing w:val="7"/>
        </w:rPr>
        <w:t xml:space="preserve"> </w:t>
      </w:r>
      <w:r w:rsidRPr="00B514AD">
        <w:rPr>
          <w:rFonts w:ascii="Arial" w:hAnsi="Arial" w:cs="Arial"/>
          <w:color w:val="231F20"/>
        </w:rPr>
        <w:t>derechos.</w:t>
      </w:r>
    </w:p>
    <w:p w:rsidR="00EC5F4C" w:rsidRPr="00B514AD" w:rsidRDefault="00EC5F4C" w:rsidP="00017F19">
      <w:pPr>
        <w:pStyle w:val="Textoindependiente"/>
        <w:spacing w:before="91" w:line="223" w:lineRule="auto"/>
        <w:ind w:right="38" w:firstLine="283"/>
        <w:jc w:val="both"/>
        <w:rPr>
          <w:rFonts w:ascii="Arial" w:hAnsi="Arial" w:cs="Arial"/>
        </w:rPr>
      </w:pPr>
      <w:r w:rsidRPr="00B514AD">
        <w:rPr>
          <w:rFonts w:ascii="Arial" w:hAnsi="Arial" w:cs="Arial"/>
          <w:color w:val="231F20"/>
        </w:rPr>
        <w:t>Sin embargo, este régimen de temporalidad está precisamente supeditado al  cumplimiento  de los objetivos para los cuales se estableció la medida de justicia transicional, pues en todo caso deben obedecer a un criterio de eficacia, ahora bien, como quiera que  como  se  evidenció  en  el apartado anterior la Ley 1448 de 2011 no ha cumplido</w:t>
      </w:r>
      <w:r w:rsidRPr="00B514AD">
        <w:rPr>
          <w:rFonts w:ascii="Arial" w:hAnsi="Arial" w:cs="Arial"/>
          <w:color w:val="231F20"/>
          <w:spacing w:val="-10"/>
        </w:rPr>
        <w:t xml:space="preserve"> </w:t>
      </w:r>
      <w:r w:rsidRPr="00B514AD">
        <w:rPr>
          <w:rFonts w:ascii="Arial" w:hAnsi="Arial" w:cs="Arial"/>
          <w:color w:val="231F20"/>
        </w:rPr>
        <w:t>cabalmente</w:t>
      </w:r>
      <w:r w:rsidRPr="00B514AD">
        <w:rPr>
          <w:rFonts w:ascii="Arial" w:hAnsi="Arial" w:cs="Arial"/>
          <w:color w:val="231F20"/>
          <w:spacing w:val="-9"/>
        </w:rPr>
        <w:t xml:space="preserve"> </w:t>
      </w:r>
      <w:r w:rsidRPr="00B514AD">
        <w:rPr>
          <w:rFonts w:ascii="Arial" w:hAnsi="Arial" w:cs="Arial"/>
          <w:color w:val="231F20"/>
        </w:rPr>
        <w:t>los</w:t>
      </w:r>
      <w:r w:rsidRPr="00B514AD">
        <w:rPr>
          <w:rFonts w:ascii="Arial" w:hAnsi="Arial" w:cs="Arial"/>
          <w:color w:val="231F20"/>
          <w:spacing w:val="-9"/>
        </w:rPr>
        <w:t xml:space="preserve"> </w:t>
      </w:r>
      <w:r w:rsidRPr="00B514AD">
        <w:rPr>
          <w:rFonts w:ascii="Arial" w:hAnsi="Arial" w:cs="Arial"/>
          <w:color w:val="231F20"/>
        </w:rPr>
        <w:t>objetivos</w:t>
      </w:r>
      <w:r w:rsidRPr="00B514AD">
        <w:rPr>
          <w:rFonts w:ascii="Arial" w:hAnsi="Arial" w:cs="Arial"/>
          <w:color w:val="231F20"/>
          <w:spacing w:val="-9"/>
        </w:rPr>
        <w:t xml:space="preserve"> </w:t>
      </w:r>
      <w:r w:rsidRPr="00B514AD">
        <w:rPr>
          <w:rFonts w:ascii="Arial" w:hAnsi="Arial" w:cs="Arial"/>
          <w:color w:val="231F20"/>
        </w:rPr>
        <w:t>para</w:t>
      </w:r>
      <w:r w:rsidRPr="00B514AD">
        <w:rPr>
          <w:rFonts w:ascii="Arial" w:hAnsi="Arial" w:cs="Arial"/>
          <w:color w:val="231F20"/>
          <w:spacing w:val="-10"/>
        </w:rPr>
        <w:t xml:space="preserve"> </w:t>
      </w:r>
      <w:r w:rsidRPr="00B514AD">
        <w:rPr>
          <w:rFonts w:ascii="Arial" w:hAnsi="Arial" w:cs="Arial"/>
          <w:color w:val="231F20"/>
        </w:rPr>
        <w:t>los</w:t>
      </w:r>
      <w:r w:rsidRPr="00B514AD">
        <w:rPr>
          <w:rFonts w:ascii="Arial" w:hAnsi="Arial" w:cs="Arial"/>
          <w:color w:val="231F20"/>
          <w:spacing w:val="-9"/>
        </w:rPr>
        <w:t xml:space="preserve"> </w:t>
      </w:r>
      <w:r w:rsidRPr="00B514AD">
        <w:rPr>
          <w:rFonts w:ascii="Arial" w:hAnsi="Arial" w:cs="Arial"/>
          <w:color w:val="231F20"/>
        </w:rPr>
        <w:t xml:space="preserve">cuales fue planteada, puede decirse que su pérdida de vigencia podría tener efectos regresivos, en la medida, que persisten personas en condición de vulnerabilidad (víctimas) con especial protección constitucional que verían desmejorada su situación jurídica para el </w:t>
      </w:r>
      <w:r w:rsidRPr="00B514AD">
        <w:rPr>
          <w:rFonts w:ascii="Arial" w:hAnsi="Arial" w:cs="Arial"/>
          <w:color w:val="231F20"/>
        </w:rPr>
        <w:lastRenderedPageBreak/>
        <w:t>acceso a sus</w:t>
      </w:r>
      <w:r w:rsidRPr="00B514AD">
        <w:rPr>
          <w:rFonts w:ascii="Arial" w:hAnsi="Arial" w:cs="Arial"/>
          <w:color w:val="231F20"/>
          <w:spacing w:val="39"/>
        </w:rPr>
        <w:t xml:space="preserve"> </w:t>
      </w:r>
      <w:r w:rsidRPr="00B514AD">
        <w:rPr>
          <w:rFonts w:ascii="Arial" w:hAnsi="Arial" w:cs="Arial"/>
          <w:color w:val="231F20"/>
        </w:rPr>
        <w:t>derechos.</w:t>
      </w:r>
    </w:p>
    <w:p w:rsidR="00EC5F4C" w:rsidRPr="00B514AD" w:rsidRDefault="00EC5F4C" w:rsidP="00017F19">
      <w:pPr>
        <w:pStyle w:val="Textoindependiente"/>
        <w:spacing w:before="90" w:line="223" w:lineRule="auto"/>
        <w:ind w:right="39" w:firstLine="283"/>
        <w:jc w:val="both"/>
        <w:rPr>
          <w:rFonts w:ascii="Arial" w:hAnsi="Arial" w:cs="Arial"/>
        </w:rPr>
      </w:pPr>
      <w:r w:rsidRPr="00B514AD">
        <w:rPr>
          <w:rFonts w:ascii="Arial" w:hAnsi="Arial" w:cs="Arial"/>
          <w:color w:val="231F20"/>
        </w:rPr>
        <w:t>Ahora bien, en una segunda dimensión puede indicarse que la pérdida de vigencia de una ley</w:t>
      </w:r>
      <w:r w:rsidRPr="00B514AD">
        <w:rPr>
          <w:rFonts w:ascii="Arial" w:hAnsi="Arial" w:cs="Arial"/>
          <w:color w:val="231F20"/>
          <w:spacing w:val="-33"/>
        </w:rPr>
        <w:t xml:space="preserve"> </w:t>
      </w:r>
      <w:r w:rsidRPr="00B514AD">
        <w:rPr>
          <w:rFonts w:ascii="Arial" w:hAnsi="Arial" w:cs="Arial"/>
          <w:color w:val="231F20"/>
        </w:rPr>
        <w:t xml:space="preserve">no afecta </w:t>
      </w:r>
      <w:r w:rsidRPr="00B514AD">
        <w:rPr>
          <w:rFonts w:ascii="Arial" w:hAnsi="Arial" w:cs="Arial"/>
          <w:i/>
          <w:color w:val="231F20"/>
        </w:rPr>
        <w:t xml:space="preserve">ipso iure </w:t>
      </w:r>
      <w:r w:rsidRPr="00B514AD">
        <w:rPr>
          <w:rFonts w:ascii="Arial" w:hAnsi="Arial" w:cs="Arial"/>
          <w:color w:val="231F20"/>
        </w:rPr>
        <w:t>la eficacia de la norma derogada, pues en general las situaciones surgidas bajo su vigencia</w:t>
      </w:r>
      <w:r w:rsidRPr="00B514AD">
        <w:rPr>
          <w:rFonts w:ascii="Arial" w:hAnsi="Arial" w:cs="Arial"/>
          <w:color w:val="231F20"/>
          <w:spacing w:val="-8"/>
        </w:rPr>
        <w:t xml:space="preserve"> </w:t>
      </w:r>
      <w:r w:rsidRPr="00B514AD">
        <w:rPr>
          <w:rFonts w:ascii="Arial" w:hAnsi="Arial" w:cs="Arial"/>
          <w:color w:val="231F20"/>
        </w:rPr>
        <w:t>continúan</w:t>
      </w:r>
      <w:r w:rsidRPr="00B514AD">
        <w:rPr>
          <w:rFonts w:ascii="Arial" w:hAnsi="Arial" w:cs="Arial"/>
          <w:color w:val="231F20"/>
          <w:spacing w:val="-8"/>
        </w:rPr>
        <w:t xml:space="preserve"> </w:t>
      </w:r>
      <w:r w:rsidRPr="00B514AD">
        <w:rPr>
          <w:rFonts w:ascii="Arial" w:hAnsi="Arial" w:cs="Arial"/>
          <w:color w:val="231F20"/>
        </w:rPr>
        <w:t>rigiéndose</w:t>
      </w:r>
      <w:r w:rsidRPr="00B514AD">
        <w:rPr>
          <w:rFonts w:ascii="Arial" w:hAnsi="Arial" w:cs="Arial"/>
          <w:color w:val="231F20"/>
          <w:spacing w:val="-8"/>
        </w:rPr>
        <w:t xml:space="preserve"> </w:t>
      </w:r>
      <w:r w:rsidRPr="00B514AD">
        <w:rPr>
          <w:rFonts w:ascii="Arial" w:hAnsi="Arial" w:cs="Arial"/>
          <w:color w:val="231F20"/>
        </w:rPr>
        <w:t>por</w:t>
      </w:r>
      <w:r w:rsidRPr="00B514AD">
        <w:rPr>
          <w:rFonts w:ascii="Arial" w:hAnsi="Arial" w:cs="Arial"/>
          <w:color w:val="231F20"/>
          <w:spacing w:val="-8"/>
        </w:rPr>
        <w:t xml:space="preserve"> </w:t>
      </w:r>
      <w:r w:rsidRPr="00B514AD">
        <w:rPr>
          <w:rFonts w:ascii="Arial" w:hAnsi="Arial" w:cs="Arial"/>
          <w:color w:val="231F20"/>
        </w:rPr>
        <w:t>ella,</w:t>
      </w:r>
      <w:r w:rsidRPr="00B514AD">
        <w:rPr>
          <w:rFonts w:ascii="Arial" w:hAnsi="Arial" w:cs="Arial"/>
          <w:color w:val="231F20"/>
          <w:spacing w:val="-8"/>
        </w:rPr>
        <w:t xml:space="preserve"> </w:t>
      </w:r>
      <w:r w:rsidRPr="00B514AD">
        <w:rPr>
          <w:rFonts w:ascii="Arial" w:hAnsi="Arial" w:cs="Arial"/>
          <w:color w:val="231F20"/>
        </w:rPr>
        <w:t>por</w:t>
      </w:r>
      <w:r w:rsidRPr="00B514AD">
        <w:rPr>
          <w:rFonts w:ascii="Arial" w:hAnsi="Arial" w:cs="Arial"/>
          <w:color w:val="231F20"/>
          <w:spacing w:val="-8"/>
        </w:rPr>
        <w:t xml:space="preserve"> </w:t>
      </w:r>
      <w:r w:rsidRPr="00B514AD">
        <w:rPr>
          <w:rFonts w:ascii="Arial" w:hAnsi="Arial" w:cs="Arial"/>
          <w:color w:val="231F20"/>
        </w:rPr>
        <w:t>lo</w:t>
      </w:r>
      <w:r w:rsidRPr="00B514AD">
        <w:rPr>
          <w:rFonts w:ascii="Arial" w:hAnsi="Arial" w:cs="Arial"/>
          <w:color w:val="231F20"/>
          <w:spacing w:val="-8"/>
        </w:rPr>
        <w:t xml:space="preserve"> </w:t>
      </w:r>
      <w:r w:rsidRPr="00B514AD">
        <w:rPr>
          <w:rFonts w:ascii="Arial" w:hAnsi="Arial" w:cs="Arial"/>
          <w:color w:val="231F20"/>
        </w:rPr>
        <w:t xml:space="preserve">cual la norma derogada puede mantener su </w:t>
      </w:r>
      <w:r w:rsidR="000174D2" w:rsidRPr="00B514AD">
        <w:rPr>
          <w:rFonts w:ascii="Arial" w:hAnsi="Arial" w:cs="Arial"/>
          <w:color w:val="231F20"/>
        </w:rPr>
        <w:t>eficacia, la</w:t>
      </w:r>
      <w:r w:rsidRPr="00B514AD">
        <w:rPr>
          <w:rFonts w:ascii="Arial" w:hAnsi="Arial" w:cs="Arial"/>
          <w:color w:val="231F20"/>
        </w:rPr>
        <w:t xml:space="preserve"> cual poco a poco se va extinguiendo. En ese orden de ideas, por ejemplo, puede sostenerse que las personas que ingresaron al registro único de víctimas antes </w:t>
      </w:r>
      <w:r w:rsidR="000174D2" w:rsidRPr="00B514AD">
        <w:rPr>
          <w:rFonts w:ascii="Arial" w:hAnsi="Arial" w:cs="Arial"/>
          <w:color w:val="231F20"/>
        </w:rPr>
        <w:t>de la pérdida de vigencia de</w:t>
      </w:r>
      <w:r w:rsidRPr="00B514AD">
        <w:rPr>
          <w:rFonts w:ascii="Arial" w:hAnsi="Arial" w:cs="Arial"/>
          <w:color w:val="231F20"/>
        </w:rPr>
        <w:t xml:space="preserve"> la Ley 1448 deberán recibir la indemnización respectiva, incluso </w:t>
      </w:r>
      <w:r w:rsidR="000174D2" w:rsidRPr="00B514AD">
        <w:rPr>
          <w:rFonts w:ascii="Arial" w:hAnsi="Arial" w:cs="Arial"/>
          <w:color w:val="231F20"/>
        </w:rPr>
        <w:t>si la Ley 1448 desaparece</w:t>
      </w:r>
      <w:r w:rsidRPr="00B514AD">
        <w:rPr>
          <w:rFonts w:ascii="Arial" w:hAnsi="Arial" w:cs="Arial"/>
          <w:color w:val="231F20"/>
        </w:rPr>
        <w:t>, o que los procesos de restitución de tierras deberán llevarse hasta las etapas finales, etc. En ese sentido, con respecto a algunas situaciones jurídicas ya consolidadas las víctimas tendrían derechos adquiridos que la pérdida de vigencia de la ley no</w:t>
      </w:r>
      <w:r w:rsidRPr="00B514AD">
        <w:rPr>
          <w:rFonts w:ascii="Arial" w:hAnsi="Arial" w:cs="Arial"/>
          <w:color w:val="231F20"/>
          <w:spacing w:val="9"/>
        </w:rPr>
        <w:t xml:space="preserve"> </w:t>
      </w:r>
      <w:r w:rsidRPr="00B514AD">
        <w:rPr>
          <w:rFonts w:ascii="Arial" w:hAnsi="Arial" w:cs="Arial"/>
          <w:color w:val="231F20"/>
        </w:rPr>
        <w:t>afectaría.</w:t>
      </w:r>
    </w:p>
    <w:p w:rsidR="00EC5F4C" w:rsidRPr="00B514AD" w:rsidRDefault="00EC5F4C" w:rsidP="00953CE8">
      <w:pPr>
        <w:pStyle w:val="Textoindependiente"/>
        <w:spacing w:before="90" w:line="223" w:lineRule="auto"/>
        <w:ind w:right="38" w:firstLine="283"/>
        <w:jc w:val="both"/>
        <w:rPr>
          <w:rFonts w:ascii="Arial" w:hAnsi="Arial" w:cs="Arial"/>
        </w:rPr>
      </w:pPr>
      <w:r w:rsidRPr="00B514AD">
        <w:rPr>
          <w:rFonts w:ascii="Arial" w:hAnsi="Arial" w:cs="Arial"/>
          <w:color w:val="231F20"/>
        </w:rPr>
        <w:t>Otros</w:t>
      </w:r>
      <w:r w:rsidR="00953CE8" w:rsidRPr="00B514AD">
        <w:rPr>
          <w:rFonts w:ascii="Arial" w:hAnsi="Arial" w:cs="Arial"/>
          <w:color w:val="231F20"/>
        </w:rPr>
        <w:t xml:space="preserve"> </w:t>
      </w:r>
      <w:r w:rsidRPr="00B514AD">
        <w:rPr>
          <w:rFonts w:ascii="Arial" w:hAnsi="Arial" w:cs="Arial"/>
          <w:color w:val="231F20"/>
        </w:rPr>
        <w:t>componentes</w:t>
      </w:r>
      <w:r w:rsidR="00953CE8" w:rsidRPr="00B514AD">
        <w:rPr>
          <w:rFonts w:ascii="Arial" w:hAnsi="Arial" w:cs="Arial"/>
          <w:color w:val="231F20"/>
        </w:rPr>
        <w:t xml:space="preserve"> </w:t>
      </w:r>
      <w:r w:rsidRPr="00B514AD">
        <w:rPr>
          <w:rFonts w:ascii="Arial" w:hAnsi="Arial" w:cs="Arial"/>
          <w:color w:val="231F20"/>
        </w:rPr>
        <w:t>tienen</w:t>
      </w:r>
      <w:r w:rsidR="00953CE8" w:rsidRPr="00B514AD">
        <w:rPr>
          <w:rFonts w:ascii="Arial" w:hAnsi="Arial" w:cs="Arial"/>
          <w:color w:val="231F20"/>
        </w:rPr>
        <w:t xml:space="preserve"> </w:t>
      </w:r>
      <w:r w:rsidRPr="00B514AD">
        <w:rPr>
          <w:rFonts w:ascii="Arial" w:hAnsi="Arial" w:cs="Arial"/>
          <w:color w:val="231F20"/>
        </w:rPr>
        <w:t>fundamento</w:t>
      </w:r>
      <w:r w:rsidR="00953CE8" w:rsidRPr="00B514AD">
        <w:rPr>
          <w:rFonts w:ascii="Arial" w:hAnsi="Arial" w:cs="Arial"/>
          <w:color w:val="231F20"/>
        </w:rPr>
        <w:t xml:space="preserve"> constitu</w:t>
      </w:r>
      <w:r w:rsidRPr="00B514AD">
        <w:rPr>
          <w:rFonts w:ascii="Arial" w:hAnsi="Arial" w:cs="Arial"/>
          <w:color w:val="231F20"/>
        </w:rPr>
        <w:t>cional suficiente para continuar existiendo aun después de la pérdida de vigencia de la Ley 1448, como los son las acciones afirmativas en materia de salud, vivienda o educación. Esto, en tanto, las víctimas en Colombia han sido conceptualizadas</w:t>
      </w:r>
      <w:r w:rsidR="00953CE8" w:rsidRPr="00B514AD">
        <w:rPr>
          <w:rFonts w:ascii="Arial" w:hAnsi="Arial" w:cs="Arial"/>
          <w:color w:val="231F20"/>
        </w:rPr>
        <w:t xml:space="preserve"> </w:t>
      </w:r>
      <w:r w:rsidRPr="00B514AD">
        <w:rPr>
          <w:rFonts w:ascii="Arial" w:hAnsi="Arial" w:cs="Arial"/>
          <w:color w:val="231F20"/>
        </w:rPr>
        <w:t>como pobla</w:t>
      </w:r>
      <w:r w:rsidR="00953CE8" w:rsidRPr="00B514AD">
        <w:rPr>
          <w:rFonts w:ascii="Arial" w:hAnsi="Arial" w:cs="Arial"/>
          <w:color w:val="231F20"/>
        </w:rPr>
        <w:t>ción socioeconómicamente vulne</w:t>
      </w:r>
      <w:r w:rsidRPr="00B514AD">
        <w:rPr>
          <w:rFonts w:ascii="Arial" w:hAnsi="Arial" w:cs="Arial"/>
          <w:color w:val="231F20"/>
        </w:rPr>
        <w:t xml:space="preserve">rable, </w:t>
      </w:r>
      <w:r w:rsidRPr="00B514AD">
        <w:rPr>
          <w:rFonts w:ascii="Arial" w:hAnsi="Arial" w:cs="Arial"/>
          <w:i/>
          <w:color w:val="231F20"/>
        </w:rPr>
        <w:t xml:space="preserve">y </w:t>
      </w:r>
      <w:r w:rsidRPr="00B514AD">
        <w:rPr>
          <w:rFonts w:ascii="Arial" w:hAnsi="Arial" w:cs="Arial"/>
          <w:color w:val="231F20"/>
        </w:rPr>
        <w:t xml:space="preserve">en este sentido, población sujeto prioritario de oferta social para  la  satisfacción de derechos económicos, sociales, culturales </w:t>
      </w:r>
      <w:r w:rsidRPr="00B514AD">
        <w:rPr>
          <w:rFonts w:ascii="Arial" w:hAnsi="Arial" w:cs="Arial"/>
          <w:i/>
          <w:color w:val="231F20"/>
        </w:rPr>
        <w:t xml:space="preserve">y </w:t>
      </w:r>
      <w:r w:rsidRPr="00B514AD">
        <w:rPr>
          <w:rFonts w:ascii="Arial" w:hAnsi="Arial" w:cs="Arial"/>
          <w:color w:val="231F20"/>
        </w:rPr>
        <w:t>ambientales (DESCA); población perjudicada por graves vejámenes contra la dignidad humana en donde las violaciones a sus derechos humanos han puesto en entredicho la capacidad o voluntad del</w:t>
      </w:r>
      <w:r w:rsidRPr="00B514AD">
        <w:rPr>
          <w:rFonts w:ascii="Arial" w:hAnsi="Arial" w:cs="Arial"/>
          <w:color w:val="231F20"/>
          <w:spacing w:val="-8"/>
        </w:rPr>
        <w:t xml:space="preserve"> </w:t>
      </w:r>
      <w:r w:rsidRPr="00B514AD">
        <w:rPr>
          <w:rFonts w:ascii="Arial" w:hAnsi="Arial" w:cs="Arial"/>
          <w:color w:val="231F20"/>
        </w:rPr>
        <w:t>Estado</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proteger,</w:t>
      </w:r>
      <w:r w:rsidRPr="00B514AD">
        <w:rPr>
          <w:rFonts w:ascii="Arial" w:hAnsi="Arial" w:cs="Arial"/>
          <w:color w:val="231F20"/>
          <w:spacing w:val="-8"/>
        </w:rPr>
        <w:t xml:space="preserve"> </w:t>
      </w:r>
      <w:r w:rsidRPr="00B514AD">
        <w:rPr>
          <w:rFonts w:ascii="Arial" w:hAnsi="Arial" w:cs="Arial"/>
          <w:color w:val="231F20"/>
        </w:rPr>
        <w:t>garantizar</w:t>
      </w:r>
      <w:r w:rsidRPr="00B514AD">
        <w:rPr>
          <w:rFonts w:ascii="Arial" w:hAnsi="Arial" w:cs="Arial"/>
          <w:color w:val="231F20"/>
          <w:spacing w:val="-7"/>
        </w:rPr>
        <w:t xml:space="preserve"> </w:t>
      </w:r>
      <w:r w:rsidRPr="00B514AD">
        <w:rPr>
          <w:rFonts w:ascii="Arial" w:hAnsi="Arial" w:cs="Arial"/>
          <w:color w:val="231F20"/>
        </w:rPr>
        <w:t>y</w:t>
      </w:r>
      <w:r w:rsidRPr="00B514AD">
        <w:rPr>
          <w:rFonts w:ascii="Arial" w:hAnsi="Arial" w:cs="Arial"/>
          <w:color w:val="231F20"/>
          <w:spacing w:val="-8"/>
        </w:rPr>
        <w:t xml:space="preserve"> </w:t>
      </w:r>
      <w:r w:rsidRPr="00B514AD">
        <w:rPr>
          <w:rFonts w:ascii="Arial" w:hAnsi="Arial" w:cs="Arial"/>
          <w:color w:val="231F20"/>
        </w:rPr>
        <w:t>hacer</w:t>
      </w:r>
      <w:r w:rsidRPr="00B514AD">
        <w:rPr>
          <w:rFonts w:ascii="Arial" w:hAnsi="Arial" w:cs="Arial"/>
          <w:color w:val="231F20"/>
          <w:spacing w:val="-8"/>
        </w:rPr>
        <w:t xml:space="preserve"> </w:t>
      </w:r>
      <w:r w:rsidRPr="00B514AD">
        <w:rPr>
          <w:rFonts w:ascii="Arial" w:hAnsi="Arial" w:cs="Arial"/>
          <w:color w:val="231F20"/>
        </w:rPr>
        <w:t xml:space="preserve">respetar sus derechos civiles y políticos; población cuyo proyecto de vida, truncado por los procesos de victimización, tiene la potencialidad de contribuir al desarrollo democrático y económico del país y sujetos de especial protección constitucional </w:t>
      </w:r>
      <w:r w:rsidRPr="00B514AD">
        <w:rPr>
          <w:rFonts w:ascii="Arial" w:hAnsi="Arial" w:cs="Arial"/>
          <w:color w:val="231F20"/>
          <w:spacing w:val="-8"/>
        </w:rPr>
        <w:t xml:space="preserve">y, </w:t>
      </w:r>
      <w:r w:rsidRPr="00B514AD">
        <w:rPr>
          <w:rFonts w:ascii="Arial" w:hAnsi="Arial" w:cs="Arial"/>
          <w:color w:val="231F20"/>
        </w:rPr>
        <w:t xml:space="preserve">por ende, tienen derecho a un trato preferencial/ diferencial </w:t>
      </w:r>
      <w:r w:rsidRPr="00B514AD">
        <w:rPr>
          <w:rFonts w:ascii="Arial" w:hAnsi="Arial" w:cs="Arial"/>
          <w:i/>
          <w:color w:val="231F20"/>
        </w:rPr>
        <w:t xml:space="preserve">y </w:t>
      </w:r>
      <w:r w:rsidRPr="00B514AD">
        <w:rPr>
          <w:rFonts w:ascii="Arial" w:hAnsi="Arial" w:cs="Arial"/>
          <w:color w:val="231F20"/>
        </w:rPr>
        <w:t>a la aplicación en su favor de acciones de discriminación</w:t>
      </w:r>
      <w:r w:rsidRPr="00B514AD">
        <w:rPr>
          <w:rFonts w:ascii="Arial" w:hAnsi="Arial" w:cs="Arial"/>
          <w:color w:val="231F20"/>
          <w:spacing w:val="9"/>
        </w:rPr>
        <w:t xml:space="preserve"> </w:t>
      </w:r>
      <w:r w:rsidRPr="00B514AD">
        <w:rPr>
          <w:rFonts w:ascii="Arial" w:hAnsi="Arial" w:cs="Arial"/>
          <w:color w:val="231F20"/>
        </w:rPr>
        <w:t>positiva.</w:t>
      </w:r>
    </w:p>
    <w:p w:rsidR="00EC5F4C" w:rsidRPr="00B514AD" w:rsidRDefault="00EC5F4C" w:rsidP="00017F19">
      <w:pPr>
        <w:pStyle w:val="Textoindependiente"/>
        <w:spacing w:before="83" w:line="256" w:lineRule="exact"/>
        <w:ind w:right="157" w:firstLine="283"/>
        <w:jc w:val="both"/>
        <w:rPr>
          <w:rFonts w:ascii="Arial" w:hAnsi="Arial" w:cs="Arial"/>
        </w:rPr>
      </w:pPr>
      <w:r w:rsidRPr="00B514AD">
        <w:rPr>
          <w:rFonts w:ascii="Arial" w:hAnsi="Arial" w:cs="Arial"/>
          <w:color w:val="231F20"/>
        </w:rPr>
        <w:t>En</w:t>
      </w:r>
      <w:r w:rsidRPr="00B514AD">
        <w:rPr>
          <w:rFonts w:ascii="Arial" w:hAnsi="Arial" w:cs="Arial"/>
          <w:color w:val="231F20"/>
          <w:spacing w:val="-22"/>
        </w:rPr>
        <w:t xml:space="preserve"> </w:t>
      </w:r>
      <w:r w:rsidRPr="00B514AD">
        <w:rPr>
          <w:rFonts w:ascii="Arial" w:hAnsi="Arial" w:cs="Arial"/>
          <w:color w:val="231F20"/>
        </w:rPr>
        <w:t>2013,</w:t>
      </w:r>
      <w:r w:rsidRPr="00B514AD">
        <w:rPr>
          <w:rFonts w:ascii="Arial" w:hAnsi="Arial" w:cs="Arial"/>
          <w:color w:val="231F20"/>
          <w:spacing w:val="-22"/>
        </w:rPr>
        <w:t xml:space="preserve"> </w:t>
      </w:r>
      <w:r w:rsidRPr="00B514AD">
        <w:rPr>
          <w:rFonts w:ascii="Arial" w:hAnsi="Arial" w:cs="Arial"/>
          <w:color w:val="231F20"/>
        </w:rPr>
        <w:t>la</w:t>
      </w:r>
      <w:r w:rsidRPr="00B514AD">
        <w:rPr>
          <w:rFonts w:ascii="Arial" w:hAnsi="Arial" w:cs="Arial"/>
          <w:color w:val="231F20"/>
          <w:spacing w:val="-21"/>
        </w:rPr>
        <w:t xml:space="preserve"> </w:t>
      </w:r>
      <w:r w:rsidRPr="00B514AD">
        <w:rPr>
          <w:rFonts w:ascii="Arial" w:hAnsi="Arial" w:cs="Arial"/>
          <w:color w:val="231F20"/>
        </w:rPr>
        <w:t>Contraloría</w:t>
      </w:r>
      <w:r w:rsidRPr="00B514AD">
        <w:rPr>
          <w:rFonts w:ascii="Arial" w:hAnsi="Arial" w:cs="Arial"/>
          <w:color w:val="231F20"/>
          <w:spacing w:val="-22"/>
        </w:rPr>
        <w:t xml:space="preserve"> </w:t>
      </w:r>
      <w:r w:rsidRPr="00B514AD">
        <w:rPr>
          <w:rFonts w:ascii="Arial" w:hAnsi="Arial" w:cs="Arial"/>
          <w:color w:val="231F20"/>
        </w:rPr>
        <w:t>General</w:t>
      </w:r>
      <w:r w:rsidRPr="00B514AD">
        <w:rPr>
          <w:rFonts w:ascii="Arial" w:hAnsi="Arial" w:cs="Arial"/>
          <w:color w:val="231F20"/>
          <w:spacing w:val="-22"/>
        </w:rPr>
        <w:t xml:space="preserve"> </w:t>
      </w:r>
      <w:r w:rsidRPr="00B514AD">
        <w:rPr>
          <w:rFonts w:ascii="Arial" w:hAnsi="Arial" w:cs="Arial"/>
          <w:color w:val="231F20"/>
        </w:rPr>
        <w:t>de</w:t>
      </w:r>
      <w:r w:rsidRPr="00B514AD">
        <w:rPr>
          <w:rFonts w:ascii="Arial" w:hAnsi="Arial" w:cs="Arial"/>
          <w:color w:val="231F20"/>
          <w:spacing w:val="-21"/>
        </w:rPr>
        <w:t xml:space="preserve"> </w:t>
      </w:r>
      <w:r w:rsidRPr="00B514AD">
        <w:rPr>
          <w:rFonts w:ascii="Arial" w:hAnsi="Arial" w:cs="Arial"/>
          <w:color w:val="231F20"/>
        </w:rPr>
        <w:t>la</w:t>
      </w:r>
      <w:r w:rsidRPr="00B514AD">
        <w:rPr>
          <w:rFonts w:ascii="Arial" w:hAnsi="Arial" w:cs="Arial"/>
          <w:color w:val="231F20"/>
          <w:spacing w:val="-22"/>
        </w:rPr>
        <w:t xml:space="preserve"> </w:t>
      </w:r>
      <w:r w:rsidRPr="00B514AD">
        <w:rPr>
          <w:rFonts w:ascii="Arial" w:hAnsi="Arial" w:cs="Arial"/>
          <w:color w:val="231F20"/>
        </w:rPr>
        <w:t>República consideró que la extrema vulnerabilidad de las víctimas “obliga al Estado no sólo a priorizar sus políticas públicas en esta población sino a asumir que la vigencia de sus derechos fundamentales reviste una jerarquía superior en relación con otros intereses que pueden revestir un alcance igualmente constitucional”</w:t>
      </w:r>
      <w:r w:rsidR="00B514AD" w:rsidRPr="00B514AD">
        <w:rPr>
          <w:rStyle w:val="Refdenotaalpie"/>
          <w:rFonts w:ascii="Arial" w:hAnsi="Arial" w:cs="Arial"/>
          <w:color w:val="231F20"/>
        </w:rPr>
        <w:footnoteReference w:id="13"/>
      </w:r>
      <w:r w:rsidRPr="00B514AD">
        <w:rPr>
          <w:rFonts w:ascii="Arial" w:hAnsi="Arial" w:cs="Arial"/>
          <w:color w:val="231F20"/>
        </w:rPr>
        <w:t xml:space="preserve">. En esa perspectiva, si bien habría una reducción del estándar </w:t>
      </w:r>
      <w:r w:rsidR="000174D2" w:rsidRPr="00B514AD">
        <w:rPr>
          <w:rFonts w:ascii="Arial" w:hAnsi="Arial" w:cs="Arial"/>
          <w:color w:val="231F20"/>
        </w:rPr>
        <w:t>legal de</w:t>
      </w:r>
      <w:r w:rsidRPr="00B514AD">
        <w:rPr>
          <w:rFonts w:ascii="Arial" w:hAnsi="Arial" w:cs="Arial"/>
          <w:color w:val="231F20"/>
        </w:rPr>
        <w:t xml:space="preserve"> protección, el estándar constitucional seguiría siendo ampliamente protector, sin embargo, perderían fundamento legal algunos programas </w:t>
      </w:r>
      <w:r w:rsidRPr="00B514AD">
        <w:rPr>
          <w:rFonts w:ascii="Arial" w:hAnsi="Arial" w:cs="Arial"/>
          <w:i/>
          <w:color w:val="231F20"/>
        </w:rPr>
        <w:t xml:space="preserve">y </w:t>
      </w:r>
      <w:r w:rsidRPr="00B514AD">
        <w:rPr>
          <w:rFonts w:ascii="Arial" w:hAnsi="Arial" w:cs="Arial"/>
          <w:color w:val="231F20"/>
        </w:rPr>
        <w:t>mecanismos específicos para la garantía de estos derechos.</w:t>
      </w:r>
    </w:p>
    <w:p w:rsidR="00017F19" w:rsidRPr="00B514AD" w:rsidRDefault="00EC5F4C" w:rsidP="00017F19">
      <w:pPr>
        <w:pStyle w:val="Textoindependiente"/>
        <w:spacing w:before="86" w:line="223" w:lineRule="auto"/>
        <w:ind w:left="154" w:right="158" w:firstLine="283"/>
        <w:jc w:val="both"/>
        <w:rPr>
          <w:rFonts w:ascii="Arial" w:hAnsi="Arial" w:cs="Arial"/>
          <w:color w:val="231F20"/>
        </w:rPr>
      </w:pPr>
      <w:r w:rsidRPr="00B514AD">
        <w:rPr>
          <w:rFonts w:ascii="Arial" w:hAnsi="Arial" w:cs="Arial"/>
          <w:color w:val="231F20"/>
        </w:rPr>
        <w:t>Ahora</w:t>
      </w:r>
      <w:r w:rsidRPr="00B514AD">
        <w:rPr>
          <w:rFonts w:ascii="Arial" w:hAnsi="Arial" w:cs="Arial"/>
          <w:color w:val="231F20"/>
          <w:spacing w:val="-11"/>
        </w:rPr>
        <w:t xml:space="preserve"> </w:t>
      </w:r>
      <w:r w:rsidRPr="00B514AD">
        <w:rPr>
          <w:rFonts w:ascii="Arial" w:hAnsi="Arial" w:cs="Arial"/>
          <w:color w:val="231F20"/>
        </w:rPr>
        <w:t>bien,</w:t>
      </w:r>
      <w:r w:rsidRPr="00B514AD">
        <w:rPr>
          <w:rFonts w:ascii="Arial" w:hAnsi="Arial" w:cs="Arial"/>
          <w:color w:val="231F20"/>
          <w:spacing w:val="-11"/>
        </w:rPr>
        <w:t xml:space="preserve"> </w:t>
      </w:r>
      <w:r w:rsidRPr="00B514AD">
        <w:rPr>
          <w:rFonts w:ascii="Arial" w:hAnsi="Arial" w:cs="Arial"/>
          <w:color w:val="231F20"/>
        </w:rPr>
        <w:t>cabe</w:t>
      </w:r>
      <w:r w:rsidRPr="00B514AD">
        <w:rPr>
          <w:rFonts w:ascii="Arial" w:hAnsi="Arial" w:cs="Arial"/>
          <w:color w:val="231F20"/>
          <w:spacing w:val="-11"/>
        </w:rPr>
        <w:t xml:space="preserve"> </w:t>
      </w:r>
      <w:r w:rsidRPr="00B514AD">
        <w:rPr>
          <w:rFonts w:ascii="Arial" w:hAnsi="Arial" w:cs="Arial"/>
          <w:color w:val="231F20"/>
        </w:rPr>
        <w:t>preguntarse</w:t>
      </w:r>
      <w:r w:rsidRPr="00B514AD">
        <w:rPr>
          <w:rFonts w:ascii="Arial" w:hAnsi="Arial" w:cs="Arial"/>
          <w:color w:val="231F20"/>
          <w:spacing w:val="-10"/>
        </w:rPr>
        <w:t xml:space="preserve"> </w:t>
      </w:r>
      <w:r w:rsidRPr="00B514AD">
        <w:rPr>
          <w:rFonts w:ascii="Arial" w:hAnsi="Arial" w:cs="Arial"/>
          <w:color w:val="231F20"/>
        </w:rPr>
        <w:t>si</w:t>
      </w:r>
      <w:r w:rsidRPr="00B514AD">
        <w:rPr>
          <w:rFonts w:ascii="Arial" w:hAnsi="Arial" w:cs="Arial"/>
          <w:color w:val="231F20"/>
          <w:spacing w:val="-11"/>
        </w:rPr>
        <w:t xml:space="preserve"> </w:t>
      </w:r>
      <w:r w:rsidRPr="00B514AD">
        <w:rPr>
          <w:rFonts w:ascii="Arial" w:hAnsi="Arial" w:cs="Arial"/>
          <w:color w:val="231F20"/>
        </w:rPr>
        <w:t>hay</w:t>
      </w:r>
      <w:r w:rsidRPr="00B514AD">
        <w:rPr>
          <w:rFonts w:ascii="Arial" w:hAnsi="Arial" w:cs="Arial"/>
          <w:color w:val="231F20"/>
          <w:spacing w:val="-11"/>
        </w:rPr>
        <w:t xml:space="preserve"> </w:t>
      </w:r>
      <w:r w:rsidRPr="00B514AD">
        <w:rPr>
          <w:rFonts w:ascii="Arial" w:hAnsi="Arial" w:cs="Arial"/>
          <w:color w:val="231F20"/>
        </w:rPr>
        <w:t>contenidos de la Ley 1448 que no puedan salvaguardarse     a través de los dos elementos reseñados - los efectos ultractivos de la Ley y el Estándar</w:t>
      </w:r>
      <w:r w:rsidRPr="00B514AD">
        <w:rPr>
          <w:rFonts w:ascii="Arial" w:hAnsi="Arial" w:cs="Arial"/>
          <w:color w:val="231F20"/>
          <w:spacing w:val="33"/>
        </w:rPr>
        <w:t xml:space="preserve"> </w:t>
      </w:r>
      <w:r w:rsidRPr="00B514AD">
        <w:rPr>
          <w:rFonts w:ascii="Arial" w:hAnsi="Arial" w:cs="Arial"/>
          <w:color w:val="231F20"/>
        </w:rPr>
        <w:t xml:space="preserve">de protección constitucional de los derechos de las víctimas–. Y en esa perspectiva la respuesta </w:t>
      </w:r>
      <w:r w:rsidR="00B35D57" w:rsidRPr="00B514AD">
        <w:rPr>
          <w:rFonts w:ascii="Arial" w:hAnsi="Arial" w:cs="Arial"/>
          <w:color w:val="231F20"/>
        </w:rPr>
        <w:t>es sí</w:t>
      </w:r>
      <w:r w:rsidRPr="00B514AD">
        <w:rPr>
          <w:rFonts w:ascii="Arial" w:hAnsi="Arial" w:cs="Arial"/>
          <w:color w:val="231F20"/>
        </w:rPr>
        <w:t>. Entre los efectos regresivos de la desaparición de la Ley 1448 de 2011 y la continuidad de la vulnerabilidad de las víctimas podemos destacar las</w:t>
      </w:r>
      <w:r w:rsidRPr="00B514AD">
        <w:rPr>
          <w:rFonts w:ascii="Arial" w:hAnsi="Arial" w:cs="Arial"/>
          <w:color w:val="231F20"/>
          <w:spacing w:val="2"/>
        </w:rPr>
        <w:t xml:space="preserve"> </w:t>
      </w:r>
      <w:r w:rsidRPr="00B514AD">
        <w:rPr>
          <w:rFonts w:ascii="Arial" w:hAnsi="Arial" w:cs="Arial"/>
          <w:color w:val="231F20"/>
        </w:rPr>
        <w:t>siguientes:</w:t>
      </w:r>
    </w:p>
    <w:p w:rsidR="00EC5F4C" w:rsidRPr="00B514AD" w:rsidRDefault="00017F19" w:rsidP="00017F19">
      <w:pPr>
        <w:pStyle w:val="Textoindependiente"/>
        <w:numPr>
          <w:ilvl w:val="0"/>
          <w:numId w:val="45"/>
        </w:numPr>
        <w:spacing w:before="86" w:line="223" w:lineRule="auto"/>
        <w:ind w:right="158"/>
        <w:jc w:val="both"/>
        <w:rPr>
          <w:rFonts w:ascii="Arial" w:hAnsi="Arial" w:cs="Arial"/>
        </w:rPr>
      </w:pPr>
      <w:r w:rsidRPr="00B514AD">
        <w:rPr>
          <w:rFonts w:ascii="Arial" w:hAnsi="Arial" w:cs="Arial"/>
          <w:color w:val="231F20"/>
          <w:spacing w:val="-115"/>
        </w:rPr>
        <w:t xml:space="preserve">) </w:t>
      </w:r>
      <w:r w:rsidRPr="00B514AD">
        <w:rPr>
          <w:rFonts w:ascii="Arial" w:hAnsi="Arial" w:cs="Arial"/>
          <w:color w:val="231F20"/>
          <w:spacing w:val="1"/>
        </w:rPr>
        <w:t>Pérdida</w:t>
      </w:r>
      <w:r w:rsidR="00EC5F4C" w:rsidRPr="00B514AD">
        <w:rPr>
          <w:rFonts w:ascii="Arial" w:hAnsi="Arial" w:cs="Arial"/>
          <w:color w:val="231F20"/>
          <w:spacing w:val="24"/>
        </w:rPr>
        <w:t xml:space="preserve"> </w:t>
      </w:r>
      <w:r w:rsidR="00EC5F4C" w:rsidRPr="00B514AD">
        <w:rPr>
          <w:rFonts w:ascii="Arial" w:hAnsi="Arial" w:cs="Arial"/>
          <w:color w:val="231F20"/>
          <w:spacing w:val="1"/>
        </w:rPr>
        <w:t>d</w:t>
      </w:r>
      <w:r w:rsidR="00EC5F4C" w:rsidRPr="00B514AD">
        <w:rPr>
          <w:rFonts w:ascii="Arial" w:hAnsi="Arial" w:cs="Arial"/>
          <w:color w:val="231F20"/>
        </w:rPr>
        <w:t>e</w:t>
      </w:r>
      <w:r w:rsidR="00EC5F4C" w:rsidRPr="00B514AD">
        <w:rPr>
          <w:rFonts w:ascii="Arial" w:hAnsi="Arial" w:cs="Arial"/>
          <w:color w:val="231F20"/>
          <w:spacing w:val="24"/>
        </w:rPr>
        <w:t xml:space="preserve"> </w:t>
      </w:r>
      <w:r w:rsidR="00EC5F4C" w:rsidRPr="00B514AD">
        <w:rPr>
          <w:rFonts w:ascii="Arial" w:hAnsi="Arial" w:cs="Arial"/>
          <w:color w:val="231F20"/>
          <w:spacing w:val="1"/>
        </w:rPr>
        <w:t>espacio</w:t>
      </w:r>
      <w:r w:rsidR="00EC5F4C" w:rsidRPr="00B514AD">
        <w:rPr>
          <w:rFonts w:ascii="Arial" w:hAnsi="Arial" w:cs="Arial"/>
          <w:color w:val="231F20"/>
        </w:rPr>
        <w:t>s</w:t>
      </w:r>
      <w:r w:rsidR="00EC5F4C" w:rsidRPr="00B514AD">
        <w:rPr>
          <w:rFonts w:ascii="Arial" w:hAnsi="Arial" w:cs="Arial"/>
          <w:color w:val="231F20"/>
          <w:spacing w:val="24"/>
        </w:rPr>
        <w:t xml:space="preserve"> </w:t>
      </w:r>
      <w:r w:rsidR="00EC5F4C" w:rsidRPr="00B514AD">
        <w:rPr>
          <w:rFonts w:ascii="Arial" w:hAnsi="Arial" w:cs="Arial"/>
          <w:color w:val="231F20"/>
          <w:spacing w:val="1"/>
        </w:rPr>
        <w:t>d</w:t>
      </w:r>
      <w:r w:rsidR="00EC5F4C" w:rsidRPr="00B514AD">
        <w:rPr>
          <w:rFonts w:ascii="Arial" w:hAnsi="Arial" w:cs="Arial"/>
          <w:color w:val="231F20"/>
        </w:rPr>
        <w:t>e</w:t>
      </w:r>
      <w:r w:rsidR="00EC5F4C" w:rsidRPr="00B514AD">
        <w:rPr>
          <w:rFonts w:ascii="Arial" w:hAnsi="Arial" w:cs="Arial"/>
          <w:color w:val="231F20"/>
          <w:spacing w:val="24"/>
        </w:rPr>
        <w:t xml:space="preserve"> </w:t>
      </w:r>
      <w:r w:rsidR="00EC5F4C" w:rsidRPr="00B514AD">
        <w:rPr>
          <w:rFonts w:ascii="Arial" w:hAnsi="Arial" w:cs="Arial"/>
          <w:color w:val="231F20"/>
          <w:spacing w:val="1"/>
        </w:rPr>
        <w:t>participació</w:t>
      </w:r>
      <w:r w:rsidR="00EC5F4C" w:rsidRPr="00B514AD">
        <w:rPr>
          <w:rFonts w:ascii="Arial" w:hAnsi="Arial" w:cs="Arial"/>
          <w:color w:val="231F20"/>
        </w:rPr>
        <w:t>n</w:t>
      </w:r>
      <w:r w:rsidR="00EC5F4C" w:rsidRPr="00B514AD">
        <w:rPr>
          <w:rFonts w:ascii="Arial" w:hAnsi="Arial" w:cs="Arial"/>
          <w:color w:val="231F20"/>
          <w:spacing w:val="24"/>
        </w:rPr>
        <w:t xml:space="preserve"> </w:t>
      </w:r>
      <w:r w:rsidR="00EC5F4C" w:rsidRPr="00B514AD">
        <w:rPr>
          <w:rFonts w:ascii="Arial" w:hAnsi="Arial" w:cs="Arial"/>
          <w:color w:val="231F20"/>
          <w:spacing w:val="1"/>
        </w:rPr>
        <w:t>de</w:t>
      </w:r>
      <w:r w:rsidRPr="00B514AD">
        <w:rPr>
          <w:rFonts w:ascii="Arial" w:hAnsi="Arial" w:cs="Arial"/>
          <w:color w:val="231F20"/>
          <w:spacing w:val="1"/>
        </w:rPr>
        <w:t xml:space="preserve"> </w:t>
      </w:r>
      <w:r w:rsidR="00EC5F4C" w:rsidRPr="00B514AD">
        <w:rPr>
          <w:rFonts w:ascii="Arial" w:hAnsi="Arial" w:cs="Arial"/>
          <w:color w:val="231F20"/>
        </w:rPr>
        <w:t>las víctimas en los escenarios de diseño, implementación, ejecución y evaluación de la política a nivel nacional, departamental, municipal</w:t>
      </w:r>
      <w:r w:rsidR="00EC5F4C" w:rsidRPr="00B514AD">
        <w:rPr>
          <w:rFonts w:ascii="Arial" w:hAnsi="Arial" w:cs="Arial"/>
          <w:color w:val="231F20"/>
          <w:spacing w:val="-9"/>
        </w:rPr>
        <w:t xml:space="preserve"> </w:t>
      </w:r>
      <w:r w:rsidR="00EC5F4C" w:rsidRPr="00B514AD">
        <w:rPr>
          <w:rFonts w:ascii="Arial" w:hAnsi="Arial" w:cs="Arial"/>
          <w:color w:val="231F20"/>
        </w:rPr>
        <w:t>y</w:t>
      </w:r>
      <w:r w:rsidR="00EC5F4C" w:rsidRPr="00B514AD">
        <w:rPr>
          <w:rFonts w:ascii="Arial" w:hAnsi="Arial" w:cs="Arial"/>
          <w:color w:val="231F20"/>
          <w:spacing w:val="-8"/>
        </w:rPr>
        <w:t xml:space="preserve"> </w:t>
      </w:r>
      <w:r w:rsidR="00EC5F4C" w:rsidRPr="00B514AD">
        <w:rPr>
          <w:rFonts w:ascii="Arial" w:hAnsi="Arial" w:cs="Arial"/>
          <w:color w:val="231F20"/>
        </w:rPr>
        <w:t>distrital,</w:t>
      </w:r>
      <w:r w:rsidR="00EC5F4C" w:rsidRPr="00B514AD">
        <w:rPr>
          <w:rFonts w:ascii="Arial" w:hAnsi="Arial" w:cs="Arial"/>
          <w:color w:val="231F20"/>
          <w:spacing w:val="-9"/>
        </w:rPr>
        <w:t xml:space="preserve"> </w:t>
      </w:r>
      <w:r w:rsidR="00EC5F4C" w:rsidRPr="00B514AD">
        <w:rPr>
          <w:rFonts w:ascii="Arial" w:hAnsi="Arial" w:cs="Arial"/>
          <w:color w:val="231F20"/>
        </w:rPr>
        <w:t>ante</w:t>
      </w:r>
      <w:r w:rsidR="00EC5F4C" w:rsidRPr="00B514AD">
        <w:rPr>
          <w:rFonts w:ascii="Arial" w:hAnsi="Arial" w:cs="Arial"/>
          <w:color w:val="231F20"/>
          <w:spacing w:val="-8"/>
        </w:rPr>
        <w:t xml:space="preserve"> </w:t>
      </w:r>
      <w:r w:rsidR="00EC5F4C" w:rsidRPr="00B514AD">
        <w:rPr>
          <w:rFonts w:ascii="Arial" w:hAnsi="Arial" w:cs="Arial"/>
          <w:color w:val="231F20"/>
        </w:rPr>
        <w:t>la</w:t>
      </w:r>
      <w:r w:rsidR="00EC5F4C" w:rsidRPr="00B514AD">
        <w:rPr>
          <w:rFonts w:ascii="Arial" w:hAnsi="Arial" w:cs="Arial"/>
          <w:color w:val="231F20"/>
          <w:spacing w:val="-9"/>
        </w:rPr>
        <w:t xml:space="preserve"> </w:t>
      </w:r>
      <w:r w:rsidR="00EC5F4C" w:rsidRPr="00B514AD">
        <w:rPr>
          <w:rFonts w:ascii="Arial" w:hAnsi="Arial" w:cs="Arial"/>
          <w:color w:val="231F20"/>
        </w:rPr>
        <w:t>desaparición</w:t>
      </w:r>
      <w:r w:rsidR="00EC5F4C" w:rsidRPr="00B514AD">
        <w:rPr>
          <w:rFonts w:ascii="Arial" w:hAnsi="Arial" w:cs="Arial"/>
          <w:color w:val="231F20"/>
          <w:spacing w:val="-8"/>
        </w:rPr>
        <w:t xml:space="preserve"> </w:t>
      </w:r>
      <w:r w:rsidR="00EC5F4C" w:rsidRPr="00B514AD">
        <w:rPr>
          <w:rFonts w:ascii="Arial" w:hAnsi="Arial" w:cs="Arial"/>
          <w:color w:val="231F20"/>
        </w:rPr>
        <w:t>del fundamento legal para el funcionamiento de las mesas de</w:t>
      </w:r>
      <w:r w:rsidR="00EC5F4C" w:rsidRPr="00B514AD">
        <w:rPr>
          <w:rFonts w:ascii="Arial" w:hAnsi="Arial" w:cs="Arial"/>
          <w:color w:val="231F20"/>
          <w:spacing w:val="7"/>
        </w:rPr>
        <w:t xml:space="preserve"> </w:t>
      </w:r>
      <w:r w:rsidR="00EC5F4C" w:rsidRPr="00B514AD">
        <w:rPr>
          <w:rFonts w:ascii="Arial" w:hAnsi="Arial" w:cs="Arial"/>
          <w:color w:val="231F20"/>
        </w:rPr>
        <w:t>víctimas.</w:t>
      </w:r>
    </w:p>
    <w:p w:rsidR="00017F19" w:rsidRPr="00B514AD" w:rsidRDefault="00EC5F4C" w:rsidP="00017F19">
      <w:pPr>
        <w:pStyle w:val="Prrafodelista"/>
        <w:numPr>
          <w:ilvl w:val="0"/>
          <w:numId w:val="45"/>
        </w:numPr>
        <w:tabs>
          <w:tab w:val="left" w:pos="833"/>
        </w:tabs>
        <w:spacing w:before="107" w:line="206" w:lineRule="auto"/>
        <w:ind w:right="159"/>
        <w:jc w:val="both"/>
        <w:rPr>
          <w:rFonts w:ascii="Arial" w:hAnsi="Arial" w:cs="Arial"/>
          <w:color w:val="231F20"/>
        </w:rPr>
      </w:pPr>
      <w:r w:rsidRPr="00B514AD">
        <w:rPr>
          <w:rFonts w:ascii="Arial" w:hAnsi="Arial" w:cs="Arial"/>
          <w:color w:val="231F20"/>
        </w:rPr>
        <w:lastRenderedPageBreak/>
        <w:t>La desaparición del marco normativo que regula la ayuda humanitaria</w:t>
      </w:r>
      <w:r w:rsidR="00B514AD" w:rsidRPr="00B514AD">
        <w:rPr>
          <w:rStyle w:val="Refdenotaalpie"/>
          <w:rFonts w:ascii="Arial" w:hAnsi="Arial" w:cs="Arial"/>
          <w:color w:val="231F20"/>
        </w:rPr>
        <w:footnoteReference w:id="14"/>
      </w:r>
      <w:r w:rsidRPr="00B514AD">
        <w:rPr>
          <w:rFonts w:ascii="Arial" w:hAnsi="Arial" w:cs="Arial"/>
          <w:color w:val="231F20"/>
          <w:position w:val="8"/>
        </w:rPr>
        <w:t xml:space="preserve"> </w:t>
      </w:r>
      <w:r w:rsidRPr="00B514AD">
        <w:rPr>
          <w:rFonts w:ascii="Arial" w:hAnsi="Arial" w:cs="Arial"/>
          <w:color w:val="231F20"/>
        </w:rPr>
        <w:t>a las</w:t>
      </w:r>
      <w:r w:rsidRPr="00B514AD">
        <w:rPr>
          <w:rFonts w:ascii="Arial" w:hAnsi="Arial" w:cs="Arial"/>
          <w:color w:val="231F20"/>
          <w:spacing w:val="33"/>
        </w:rPr>
        <w:t xml:space="preserve"> </w:t>
      </w:r>
      <w:r w:rsidRPr="00B514AD">
        <w:rPr>
          <w:rFonts w:ascii="Arial" w:hAnsi="Arial" w:cs="Arial"/>
          <w:color w:val="231F20"/>
        </w:rPr>
        <w:t>víctimas</w:t>
      </w:r>
      <w:r w:rsidR="00017F19" w:rsidRPr="00B514AD">
        <w:rPr>
          <w:rFonts w:ascii="Arial" w:hAnsi="Arial" w:cs="Arial"/>
          <w:color w:val="231F20"/>
        </w:rPr>
        <w:t xml:space="preserve"> </w:t>
      </w:r>
      <w:r w:rsidRPr="00B514AD">
        <w:rPr>
          <w:rFonts w:ascii="Arial" w:hAnsi="Arial" w:cs="Arial"/>
          <w:color w:val="231F20"/>
        </w:rPr>
        <w:t>del conflicto, teniendo que regresar, en el mejor</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los</w:t>
      </w:r>
      <w:r w:rsidRPr="00B514AD">
        <w:rPr>
          <w:rFonts w:ascii="Arial" w:hAnsi="Arial" w:cs="Arial"/>
          <w:color w:val="231F20"/>
          <w:spacing w:val="-6"/>
        </w:rPr>
        <w:t xml:space="preserve"> </w:t>
      </w:r>
      <w:r w:rsidRPr="00B514AD">
        <w:rPr>
          <w:rFonts w:ascii="Arial" w:hAnsi="Arial" w:cs="Arial"/>
          <w:color w:val="231F20"/>
        </w:rPr>
        <w:t>casos,</w:t>
      </w:r>
      <w:r w:rsidRPr="00B514AD">
        <w:rPr>
          <w:rFonts w:ascii="Arial" w:hAnsi="Arial" w:cs="Arial"/>
          <w:color w:val="231F20"/>
          <w:spacing w:val="-6"/>
        </w:rPr>
        <w:t xml:space="preserve"> </w:t>
      </w:r>
      <w:r w:rsidRPr="00B514AD">
        <w:rPr>
          <w:rFonts w:ascii="Arial" w:hAnsi="Arial" w:cs="Arial"/>
          <w:color w:val="231F20"/>
        </w:rPr>
        <w:t>a</w:t>
      </w:r>
      <w:r w:rsidRPr="00B514AD">
        <w:rPr>
          <w:rFonts w:ascii="Arial" w:hAnsi="Arial" w:cs="Arial"/>
          <w:color w:val="231F20"/>
          <w:spacing w:val="-6"/>
        </w:rPr>
        <w:t xml:space="preserve"> </w:t>
      </w:r>
      <w:r w:rsidRPr="00B514AD">
        <w:rPr>
          <w:rFonts w:ascii="Arial" w:hAnsi="Arial" w:cs="Arial"/>
          <w:color w:val="231F20"/>
        </w:rPr>
        <w:t>esquemas</w:t>
      </w:r>
      <w:r w:rsidRPr="00B514AD">
        <w:rPr>
          <w:rFonts w:ascii="Arial" w:hAnsi="Arial" w:cs="Arial"/>
          <w:color w:val="231F20"/>
          <w:spacing w:val="-6"/>
        </w:rPr>
        <w:t xml:space="preserve"> </w:t>
      </w:r>
      <w:r w:rsidRPr="00B514AD">
        <w:rPr>
          <w:rFonts w:ascii="Arial" w:hAnsi="Arial" w:cs="Arial"/>
          <w:color w:val="231F20"/>
        </w:rPr>
        <w:t>más</w:t>
      </w:r>
      <w:r w:rsidRPr="00B514AD">
        <w:rPr>
          <w:rFonts w:ascii="Arial" w:hAnsi="Arial" w:cs="Arial"/>
          <w:color w:val="231F20"/>
          <w:spacing w:val="-6"/>
        </w:rPr>
        <w:t xml:space="preserve"> </w:t>
      </w:r>
      <w:r w:rsidRPr="00B514AD">
        <w:rPr>
          <w:rFonts w:ascii="Arial" w:hAnsi="Arial" w:cs="Arial"/>
          <w:color w:val="231F20"/>
        </w:rPr>
        <w:t>antiguos y restringidos frente a algunos hechos victimizantes.</w:t>
      </w:r>
    </w:p>
    <w:p w:rsidR="00EC5F4C" w:rsidRPr="00B514AD" w:rsidRDefault="00017F19" w:rsidP="00017F19">
      <w:pPr>
        <w:pStyle w:val="Prrafodelista"/>
        <w:numPr>
          <w:ilvl w:val="0"/>
          <w:numId w:val="45"/>
        </w:numPr>
        <w:tabs>
          <w:tab w:val="left" w:pos="833"/>
        </w:tabs>
        <w:spacing w:before="107" w:line="206" w:lineRule="auto"/>
        <w:ind w:right="159"/>
        <w:jc w:val="both"/>
        <w:rPr>
          <w:rFonts w:ascii="Arial" w:hAnsi="Arial" w:cs="Arial"/>
          <w:color w:val="231F20"/>
        </w:rPr>
      </w:pPr>
      <w:r w:rsidRPr="00B514AD">
        <w:rPr>
          <w:rFonts w:ascii="Arial" w:hAnsi="Arial" w:cs="Arial"/>
          <w:color w:val="231F20"/>
        </w:rPr>
        <w:t>desaparición</w:t>
      </w:r>
      <w:r w:rsidR="00EC5F4C" w:rsidRPr="00B514AD">
        <w:rPr>
          <w:rFonts w:ascii="Arial" w:hAnsi="Arial" w:cs="Arial"/>
          <w:color w:val="231F20"/>
        </w:rPr>
        <w:t xml:space="preserve"> </w:t>
      </w:r>
      <w:r w:rsidR="00EC5F4C" w:rsidRPr="00B514AD">
        <w:rPr>
          <w:rFonts w:ascii="Arial" w:hAnsi="Arial" w:cs="Arial"/>
          <w:color w:val="231F20"/>
          <w:spacing w:val="1"/>
        </w:rPr>
        <w:t>de</w:t>
      </w:r>
      <w:r w:rsidR="00EC5F4C" w:rsidRPr="00B514AD">
        <w:rPr>
          <w:rFonts w:ascii="Arial" w:hAnsi="Arial" w:cs="Arial"/>
          <w:color w:val="231F20"/>
        </w:rPr>
        <w:t xml:space="preserve">l  </w:t>
      </w:r>
      <w:r w:rsidR="00EC5F4C" w:rsidRPr="00B514AD">
        <w:rPr>
          <w:rFonts w:ascii="Arial" w:hAnsi="Arial" w:cs="Arial"/>
          <w:color w:val="231F20"/>
          <w:spacing w:val="16"/>
        </w:rPr>
        <w:t xml:space="preserve"> </w:t>
      </w:r>
      <w:r w:rsidR="00EC5F4C" w:rsidRPr="00B514AD">
        <w:rPr>
          <w:rFonts w:ascii="Arial" w:hAnsi="Arial" w:cs="Arial"/>
          <w:color w:val="231F20"/>
          <w:spacing w:val="1"/>
        </w:rPr>
        <w:t>registr</w:t>
      </w:r>
      <w:r w:rsidR="00EC5F4C" w:rsidRPr="00B514AD">
        <w:rPr>
          <w:rFonts w:ascii="Arial" w:hAnsi="Arial" w:cs="Arial"/>
          <w:color w:val="231F20"/>
        </w:rPr>
        <w:t xml:space="preserve">o  </w:t>
      </w:r>
      <w:r w:rsidR="00EC5F4C" w:rsidRPr="00B514AD">
        <w:rPr>
          <w:rFonts w:ascii="Arial" w:hAnsi="Arial" w:cs="Arial"/>
          <w:color w:val="231F20"/>
          <w:spacing w:val="16"/>
        </w:rPr>
        <w:t xml:space="preserve"> </w:t>
      </w:r>
      <w:r w:rsidR="00EC5F4C" w:rsidRPr="00B514AD">
        <w:rPr>
          <w:rFonts w:ascii="Arial" w:hAnsi="Arial" w:cs="Arial"/>
          <w:color w:val="231F20"/>
          <w:spacing w:val="1"/>
        </w:rPr>
        <w:t>únic</w:t>
      </w:r>
      <w:r w:rsidR="00EC5F4C" w:rsidRPr="00B514AD">
        <w:rPr>
          <w:rFonts w:ascii="Arial" w:hAnsi="Arial" w:cs="Arial"/>
          <w:color w:val="231F20"/>
        </w:rPr>
        <w:t xml:space="preserve">o  </w:t>
      </w:r>
      <w:r w:rsidR="00EC5F4C" w:rsidRPr="00B514AD">
        <w:rPr>
          <w:rFonts w:ascii="Arial" w:hAnsi="Arial" w:cs="Arial"/>
          <w:color w:val="231F20"/>
          <w:spacing w:val="16"/>
        </w:rPr>
        <w:t xml:space="preserve"> </w:t>
      </w:r>
      <w:r w:rsidR="00EC5F4C" w:rsidRPr="00B514AD">
        <w:rPr>
          <w:rFonts w:ascii="Arial" w:hAnsi="Arial" w:cs="Arial"/>
          <w:color w:val="231F20"/>
          <w:spacing w:val="1"/>
        </w:rPr>
        <w:t>de víctima</w:t>
      </w:r>
      <w:r w:rsidR="00EC5F4C" w:rsidRPr="00B514AD">
        <w:rPr>
          <w:rFonts w:ascii="Arial" w:hAnsi="Arial" w:cs="Arial"/>
          <w:color w:val="231F20"/>
        </w:rPr>
        <w:t>s</w:t>
      </w:r>
      <w:r w:rsidR="00EC5F4C" w:rsidRPr="00B514AD">
        <w:rPr>
          <w:rFonts w:ascii="Arial" w:hAnsi="Arial" w:cs="Arial"/>
          <w:color w:val="231F20"/>
          <w:spacing w:val="26"/>
        </w:rPr>
        <w:t xml:space="preserve"> </w:t>
      </w:r>
      <w:r w:rsidR="00EC5F4C" w:rsidRPr="00B514AD">
        <w:rPr>
          <w:rFonts w:ascii="Arial" w:hAnsi="Arial" w:cs="Arial"/>
          <w:color w:val="231F20"/>
        </w:rPr>
        <w:t xml:space="preserve">como instrumento para identificar a las víctimas.  Este </w:t>
      </w:r>
      <w:r w:rsidR="00B35D57" w:rsidRPr="00B514AD">
        <w:rPr>
          <w:rFonts w:ascii="Arial" w:hAnsi="Arial" w:cs="Arial"/>
          <w:color w:val="231F20"/>
        </w:rPr>
        <w:t>efecto, se refiere a</w:t>
      </w:r>
      <w:r w:rsidR="00EC5F4C" w:rsidRPr="00B514AD">
        <w:rPr>
          <w:rFonts w:ascii="Arial" w:hAnsi="Arial" w:cs="Arial"/>
          <w:color w:val="231F20"/>
        </w:rPr>
        <w:t xml:space="preserve"> que ante la desaparición de la Ley</w:t>
      </w:r>
      <w:r w:rsidR="00EC5F4C" w:rsidRPr="00B514AD">
        <w:rPr>
          <w:rFonts w:ascii="Arial" w:hAnsi="Arial" w:cs="Arial"/>
          <w:color w:val="231F20"/>
          <w:spacing w:val="28"/>
        </w:rPr>
        <w:t xml:space="preserve"> </w:t>
      </w:r>
      <w:r w:rsidR="00EC5F4C" w:rsidRPr="00B514AD">
        <w:rPr>
          <w:rFonts w:ascii="Arial" w:hAnsi="Arial" w:cs="Arial"/>
          <w:color w:val="231F20"/>
        </w:rPr>
        <w:t>1448</w:t>
      </w:r>
      <w:r w:rsidR="00EC5F4C" w:rsidRPr="00B514AD">
        <w:rPr>
          <w:rFonts w:ascii="Arial" w:hAnsi="Arial" w:cs="Arial"/>
          <w:color w:val="231F20"/>
          <w:spacing w:val="3"/>
        </w:rPr>
        <w:t xml:space="preserve"> </w:t>
      </w:r>
      <w:r w:rsidR="00EC5F4C" w:rsidRPr="00B514AD">
        <w:rPr>
          <w:rFonts w:ascii="Arial" w:hAnsi="Arial" w:cs="Arial"/>
          <w:color w:val="231F20"/>
        </w:rPr>
        <w:t>no</w:t>
      </w:r>
      <w:r w:rsidR="00EC5F4C" w:rsidRPr="00B514AD">
        <w:rPr>
          <w:rFonts w:ascii="Arial" w:hAnsi="Arial" w:cs="Arial"/>
          <w:color w:val="231F20"/>
        </w:rPr>
        <w:tab/>
        <w:t xml:space="preserve"> podrán</w:t>
      </w:r>
      <w:r w:rsidR="00EC5F4C" w:rsidRPr="00B514AD">
        <w:rPr>
          <w:rFonts w:ascii="Arial" w:hAnsi="Arial" w:cs="Arial"/>
          <w:color w:val="231F20"/>
        </w:rPr>
        <w:tab/>
        <w:t>registrarse</w:t>
      </w:r>
      <w:r w:rsidRPr="00B514AD">
        <w:rPr>
          <w:rFonts w:ascii="Arial" w:hAnsi="Arial" w:cs="Arial"/>
          <w:color w:val="231F20"/>
        </w:rPr>
        <w:t xml:space="preserve"> </w:t>
      </w:r>
      <w:r w:rsidR="00EC5F4C" w:rsidRPr="00B514AD">
        <w:rPr>
          <w:rFonts w:ascii="Arial" w:hAnsi="Arial" w:cs="Arial"/>
          <w:color w:val="231F20"/>
        </w:rPr>
        <w:t>nuevas</w:t>
      </w:r>
      <w:r w:rsidR="00EC5F4C" w:rsidRPr="00B514AD">
        <w:rPr>
          <w:rFonts w:ascii="Arial" w:hAnsi="Arial" w:cs="Arial"/>
          <w:color w:val="231F20"/>
        </w:rPr>
        <w:tab/>
        <w:t xml:space="preserve">víctimas posteriores a la fecha de pérdida de vigencia de la </w:t>
      </w:r>
      <w:r w:rsidR="00EC5F4C" w:rsidRPr="00B514AD">
        <w:rPr>
          <w:rFonts w:ascii="Arial" w:hAnsi="Arial" w:cs="Arial"/>
          <w:color w:val="231F20"/>
          <w:spacing w:val="-3"/>
        </w:rPr>
        <w:t xml:space="preserve">ley, </w:t>
      </w:r>
      <w:r w:rsidR="00EC5F4C" w:rsidRPr="00B514AD">
        <w:rPr>
          <w:rFonts w:ascii="Arial" w:hAnsi="Arial" w:cs="Arial"/>
          <w:color w:val="231F20"/>
        </w:rPr>
        <w:t>afectando los derechos de las nuevas víctimas posteriores a dicha</w:t>
      </w:r>
      <w:r w:rsidR="00EC5F4C" w:rsidRPr="00B514AD">
        <w:rPr>
          <w:rFonts w:ascii="Arial" w:hAnsi="Arial" w:cs="Arial"/>
          <w:color w:val="231F20"/>
          <w:spacing w:val="29"/>
        </w:rPr>
        <w:t xml:space="preserve"> </w:t>
      </w:r>
      <w:r w:rsidR="00EC5F4C" w:rsidRPr="00B514AD">
        <w:rPr>
          <w:rFonts w:ascii="Arial" w:hAnsi="Arial" w:cs="Arial"/>
          <w:color w:val="231F20"/>
        </w:rPr>
        <w:t>fecha.</w:t>
      </w:r>
    </w:p>
    <w:p w:rsidR="00EC5F4C" w:rsidRPr="00B514AD" w:rsidRDefault="00EC5F4C" w:rsidP="00017F19">
      <w:pPr>
        <w:pStyle w:val="Prrafodelista"/>
        <w:widowControl w:val="0"/>
        <w:numPr>
          <w:ilvl w:val="0"/>
          <w:numId w:val="45"/>
        </w:numPr>
        <w:tabs>
          <w:tab w:val="left" w:pos="834"/>
        </w:tabs>
        <w:autoSpaceDE w:val="0"/>
        <w:autoSpaceDN w:val="0"/>
        <w:spacing w:before="86" w:after="0" w:line="237" w:lineRule="auto"/>
        <w:ind w:right="83"/>
        <w:contextualSpacing w:val="0"/>
        <w:jc w:val="both"/>
        <w:rPr>
          <w:rFonts w:ascii="Arial" w:hAnsi="Arial" w:cs="Arial"/>
        </w:rPr>
      </w:pPr>
      <w:r w:rsidRPr="00B514AD">
        <w:rPr>
          <w:rFonts w:ascii="Arial" w:hAnsi="Arial" w:cs="Arial"/>
          <w:color w:val="231F20"/>
        </w:rPr>
        <w:t xml:space="preserve">Desaparecerá el fundamento legal de la estructura institucional para la atención de víctimas, en esa perspectiva, el SNARIV solo podría seguir funcionando muy parcialmente y </w:t>
      </w:r>
      <w:r w:rsidR="00B35D57" w:rsidRPr="00B514AD">
        <w:rPr>
          <w:rFonts w:ascii="Arial" w:hAnsi="Arial" w:cs="Arial"/>
          <w:color w:val="231F20"/>
        </w:rPr>
        <w:t>de manera restringida en el</w:t>
      </w:r>
      <w:r w:rsidRPr="00B514AD">
        <w:rPr>
          <w:rFonts w:ascii="Arial" w:hAnsi="Arial" w:cs="Arial"/>
          <w:color w:val="231F20"/>
        </w:rPr>
        <w:t xml:space="preserve"> cierre de medidas y acciones para las víctimas registradas, según criterios de derechos adquiridos, pero perdería su capacidad constructora de nuevas políticas públicas para víctimas o de adecuación de las</w:t>
      </w:r>
      <w:r w:rsidRPr="00B514AD">
        <w:rPr>
          <w:rFonts w:ascii="Arial" w:hAnsi="Arial" w:cs="Arial"/>
          <w:color w:val="231F20"/>
          <w:spacing w:val="2"/>
        </w:rPr>
        <w:t xml:space="preserve"> </w:t>
      </w:r>
      <w:r w:rsidRPr="00B514AD">
        <w:rPr>
          <w:rFonts w:ascii="Arial" w:hAnsi="Arial" w:cs="Arial"/>
          <w:color w:val="231F20"/>
        </w:rPr>
        <w:t>existentes.</w:t>
      </w:r>
    </w:p>
    <w:p w:rsidR="00EC5F4C" w:rsidRPr="00B514AD" w:rsidRDefault="00EC5F4C" w:rsidP="00017F19">
      <w:pPr>
        <w:pStyle w:val="Prrafodelista"/>
        <w:widowControl w:val="0"/>
        <w:numPr>
          <w:ilvl w:val="0"/>
          <w:numId w:val="45"/>
        </w:numPr>
        <w:tabs>
          <w:tab w:val="left" w:pos="834"/>
        </w:tabs>
        <w:autoSpaceDE w:val="0"/>
        <w:autoSpaceDN w:val="0"/>
        <w:spacing w:before="86" w:after="0" w:line="237" w:lineRule="auto"/>
        <w:ind w:right="85"/>
        <w:contextualSpacing w:val="0"/>
        <w:jc w:val="both"/>
        <w:rPr>
          <w:rFonts w:ascii="Arial" w:hAnsi="Arial" w:cs="Arial"/>
        </w:rPr>
      </w:pPr>
      <w:r w:rsidRPr="00B514AD">
        <w:rPr>
          <w:rFonts w:ascii="Arial" w:hAnsi="Arial" w:cs="Arial"/>
          <w:color w:val="231F20"/>
        </w:rPr>
        <w:t>Desaparecerían algunos títulos de derechos más específicos y más desarrollados, incluso, que los establecidos por sentencias judiciales, por ejemplo, los derechos de las víctimas en los procesos judiciales que han sido desarrollados de manera mucho más específica por la Ley</w:t>
      </w:r>
      <w:r w:rsidRPr="00B514AD">
        <w:rPr>
          <w:rFonts w:ascii="Arial" w:hAnsi="Arial" w:cs="Arial"/>
          <w:color w:val="231F20"/>
          <w:spacing w:val="8"/>
        </w:rPr>
        <w:t xml:space="preserve"> </w:t>
      </w:r>
      <w:r w:rsidRPr="00B514AD">
        <w:rPr>
          <w:rFonts w:ascii="Arial" w:hAnsi="Arial" w:cs="Arial"/>
          <w:color w:val="231F20"/>
        </w:rPr>
        <w:t>1448.</w:t>
      </w:r>
    </w:p>
    <w:p w:rsidR="00EC5F4C" w:rsidRPr="00B514AD" w:rsidRDefault="00EC5F4C" w:rsidP="00017F19">
      <w:pPr>
        <w:pStyle w:val="Textoindependiente"/>
        <w:spacing w:before="86" w:line="228" w:lineRule="auto"/>
        <w:ind w:right="85" w:firstLine="283"/>
        <w:jc w:val="both"/>
        <w:rPr>
          <w:rFonts w:ascii="Arial" w:hAnsi="Arial" w:cs="Arial"/>
        </w:rPr>
      </w:pPr>
      <w:r w:rsidRPr="00B514AD">
        <w:rPr>
          <w:rFonts w:ascii="Arial" w:hAnsi="Arial" w:cs="Arial"/>
          <w:color w:val="231F20"/>
        </w:rPr>
        <w:t>Estos ejemplos, evidencia que efectivamente la desaparición de la Ley 1448 de 2011 tiene efectos regresivos en los estándares de protección de los derechos de las</w:t>
      </w:r>
      <w:r w:rsidRPr="00B514AD">
        <w:rPr>
          <w:rFonts w:ascii="Arial" w:hAnsi="Arial" w:cs="Arial"/>
          <w:color w:val="231F20"/>
          <w:spacing w:val="13"/>
        </w:rPr>
        <w:t xml:space="preserve"> </w:t>
      </w:r>
      <w:r w:rsidRPr="00B514AD">
        <w:rPr>
          <w:rFonts w:ascii="Arial" w:hAnsi="Arial" w:cs="Arial"/>
          <w:color w:val="231F20"/>
        </w:rPr>
        <w:t>víctimas.</w:t>
      </w:r>
    </w:p>
    <w:p w:rsidR="00EC5F4C" w:rsidRPr="00B514AD" w:rsidRDefault="00EC5F4C" w:rsidP="00017F19">
      <w:pPr>
        <w:pStyle w:val="Textoindependiente"/>
        <w:spacing w:before="84" w:line="228" w:lineRule="auto"/>
        <w:ind w:right="84" w:firstLine="283"/>
        <w:jc w:val="both"/>
        <w:rPr>
          <w:rFonts w:ascii="Arial" w:hAnsi="Arial" w:cs="Arial"/>
        </w:rPr>
      </w:pPr>
      <w:r w:rsidRPr="00B514AD">
        <w:rPr>
          <w:rFonts w:ascii="Arial" w:hAnsi="Arial" w:cs="Arial"/>
          <w:color w:val="231F20"/>
        </w:rPr>
        <w:t>Como conclusión, entonces podemos señalar que: i) en principio la pérdida de vigencia de la norma no puede considerarse como una medida restrictiva, pues en algunos casos el legislador puede fijar el horizonte temporal de las leyes, tal es el caso de las normas expedidas en el marco</w:t>
      </w:r>
      <w:r w:rsidRPr="00B514AD">
        <w:rPr>
          <w:rFonts w:ascii="Arial" w:hAnsi="Arial" w:cs="Arial"/>
          <w:color w:val="231F20"/>
          <w:spacing w:val="-22"/>
        </w:rPr>
        <w:t xml:space="preserve"> </w:t>
      </w:r>
      <w:r w:rsidRPr="00B514AD">
        <w:rPr>
          <w:rFonts w:ascii="Arial" w:hAnsi="Arial" w:cs="Arial"/>
          <w:color w:val="231F20"/>
        </w:rPr>
        <w:t>de la justicia transicional, pero esta no es una regla absoluta, ii) en el caso de las normas de justicia transicional, la reducción de sus estándares</w:t>
      </w:r>
      <w:r w:rsidRPr="00B514AD">
        <w:rPr>
          <w:rFonts w:ascii="Arial" w:hAnsi="Arial" w:cs="Arial"/>
          <w:color w:val="231F20"/>
          <w:spacing w:val="40"/>
        </w:rPr>
        <w:t xml:space="preserve"> </w:t>
      </w:r>
      <w:r w:rsidRPr="00B514AD">
        <w:rPr>
          <w:rFonts w:ascii="Arial" w:hAnsi="Arial" w:cs="Arial"/>
          <w:color w:val="231F20"/>
        </w:rPr>
        <w:t xml:space="preserve">de protección o eliminación puede  ser  restrictiva, si no cumplió con los objetivos que se propuso   y  persisten  circunstancias  de   vulnerabilidad  de población especialmente protegida, para la que se constituyó, como en efecto ocurre con la población víctima del conflicto en Colombia, iii) la pérdida de vigencia de la Ley 1448 de 2011 tiene efectos regresivos sobre el goce efectivo de los derechos de las víctimas, iv) el legislador no ha demostrado que se cumplen con los estándares constitucionales para tomar una medida regresiva en materia de derechos de las víctimas. En ese orden de ideas, la pérdida </w:t>
      </w:r>
      <w:r w:rsidR="00B35D57" w:rsidRPr="00B514AD">
        <w:rPr>
          <w:rFonts w:ascii="Arial" w:hAnsi="Arial" w:cs="Arial"/>
          <w:color w:val="231F20"/>
        </w:rPr>
        <w:t>de vigencia de la Ley</w:t>
      </w:r>
      <w:r w:rsidRPr="00B514AD">
        <w:rPr>
          <w:rFonts w:ascii="Arial" w:hAnsi="Arial" w:cs="Arial"/>
          <w:color w:val="231F20"/>
        </w:rPr>
        <w:t xml:space="preserve"> 1448 pone en peligro la garantía de</w:t>
      </w:r>
      <w:r w:rsidRPr="00B514AD">
        <w:rPr>
          <w:rFonts w:ascii="Arial" w:hAnsi="Arial" w:cs="Arial"/>
          <w:color w:val="231F20"/>
          <w:spacing w:val="-16"/>
        </w:rPr>
        <w:t xml:space="preserve"> </w:t>
      </w:r>
      <w:r w:rsidRPr="00B514AD">
        <w:rPr>
          <w:rFonts w:ascii="Arial" w:hAnsi="Arial" w:cs="Arial"/>
          <w:color w:val="231F20"/>
        </w:rPr>
        <w:t>estos</w:t>
      </w:r>
      <w:r w:rsidR="00017F19" w:rsidRPr="00B514AD">
        <w:rPr>
          <w:rFonts w:ascii="Arial" w:hAnsi="Arial" w:cs="Arial"/>
          <w:color w:val="231F20"/>
        </w:rPr>
        <w:t xml:space="preserve"> </w:t>
      </w:r>
      <w:r w:rsidRPr="00B514AD">
        <w:rPr>
          <w:rFonts w:ascii="Arial" w:hAnsi="Arial" w:cs="Arial"/>
          <w:color w:val="231F20"/>
        </w:rPr>
        <w:t>derechos de las víctimas, y por lo tanto se genera la necesidad de ampliar su vigencia.</w:t>
      </w:r>
    </w:p>
    <w:p w:rsidR="00EC5F4C" w:rsidRDefault="00EC5F4C" w:rsidP="00017F19">
      <w:pPr>
        <w:pStyle w:val="Textoindependiente"/>
        <w:spacing w:before="83" w:line="228" w:lineRule="auto"/>
        <w:ind w:right="158" w:firstLine="283"/>
        <w:jc w:val="both"/>
        <w:rPr>
          <w:rFonts w:ascii="Arial" w:hAnsi="Arial" w:cs="Arial"/>
          <w:color w:val="231F20"/>
        </w:rPr>
      </w:pPr>
      <w:r w:rsidRPr="00B514AD">
        <w:rPr>
          <w:rFonts w:ascii="Arial" w:hAnsi="Arial" w:cs="Arial"/>
          <w:color w:val="231F20"/>
        </w:rPr>
        <w:t xml:space="preserve">Ahora bien, como quiera que el Gobierno nacional ha indicado en su plan nacional de desarrollo que “este Gobierno deberá revisar y evaluar la efectividad de la Ley 1448 de 2011 (Ley </w:t>
      </w:r>
      <w:r w:rsidR="00B35D57" w:rsidRPr="00B514AD">
        <w:rPr>
          <w:rFonts w:ascii="Arial" w:hAnsi="Arial" w:cs="Arial"/>
          <w:color w:val="231F20"/>
        </w:rPr>
        <w:t>de Víctimas y Restitución de Tierras</w:t>
      </w:r>
      <w:r w:rsidRPr="00B514AD">
        <w:rPr>
          <w:rFonts w:ascii="Arial" w:hAnsi="Arial" w:cs="Arial"/>
          <w:color w:val="231F20"/>
        </w:rPr>
        <w:t xml:space="preserve">) que tiene vigencia hasta el 2021, por lo cual es   el momento para establecer los criterios para determinar la renovación o actualización de la Política de Víctimas. Por lo anterior, para el 2020 el Gobierno Nacional [...] presentará al Congreso el balance de la </w:t>
      </w:r>
      <w:r w:rsidRPr="00B514AD">
        <w:rPr>
          <w:rFonts w:ascii="Arial" w:hAnsi="Arial" w:cs="Arial"/>
          <w:color w:val="231F20"/>
          <w:spacing w:val="-4"/>
        </w:rPr>
        <w:t xml:space="preserve">ley, </w:t>
      </w:r>
      <w:r w:rsidRPr="00B514AD">
        <w:rPr>
          <w:rFonts w:ascii="Arial" w:hAnsi="Arial" w:cs="Arial"/>
          <w:color w:val="231F20"/>
        </w:rPr>
        <w:t xml:space="preserve">así como una propuesta de ajuste y actualización” (p. 738). A la espera </w:t>
      </w:r>
      <w:r w:rsidRPr="00B514AD">
        <w:rPr>
          <w:rFonts w:ascii="Arial" w:hAnsi="Arial" w:cs="Arial"/>
          <w:color w:val="231F20"/>
        </w:rPr>
        <w:lastRenderedPageBreak/>
        <w:t>de este balance es pertinente concentrarse en la ampliación de la Ley 1448 en orden a garantizar por lo menos el actual nivel de protección legal para las</w:t>
      </w:r>
      <w:r w:rsidRPr="00B514AD">
        <w:rPr>
          <w:rFonts w:ascii="Arial" w:hAnsi="Arial" w:cs="Arial"/>
          <w:color w:val="231F20"/>
          <w:spacing w:val="4"/>
        </w:rPr>
        <w:t xml:space="preserve"> </w:t>
      </w:r>
      <w:r w:rsidRPr="00B514AD">
        <w:rPr>
          <w:rFonts w:ascii="Arial" w:hAnsi="Arial" w:cs="Arial"/>
          <w:color w:val="231F20"/>
        </w:rPr>
        <w:t>víctimas.</w:t>
      </w:r>
    </w:p>
    <w:p w:rsidR="00945315" w:rsidRPr="00B514AD" w:rsidRDefault="00945315" w:rsidP="00017F19">
      <w:pPr>
        <w:pStyle w:val="Textoindependiente"/>
        <w:spacing w:before="83" w:line="228" w:lineRule="auto"/>
        <w:ind w:right="158" w:firstLine="283"/>
        <w:jc w:val="both"/>
        <w:rPr>
          <w:rFonts w:ascii="Arial" w:hAnsi="Arial" w:cs="Arial"/>
        </w:rPr>
      </w:pPr>
    </w:p>
    <w:p w:rsidR="00017F19" w:rsidRPr="00945315" w:rsidRDefault="00017F19" w:rsidP="00017F19">
      <w:pPr>
        <w:pStyle w:val="Textoindependiente"/>
        <w:spacing w:before="82" w:line="228" w:lineRule="auto"/>
        <w:ind w:right="157" w:firstLine="283"/>
        <w:jc w:val="both"/>
        <w:rPr>
          <w:rFonts w:ascii="Arial" w:hAnsi="Arial" w:cs="Arial"/>
          <w:b/>
        </w:rPr>
      </w:pPr>
      <w:r w:rsidRPr="00945315">
        <w:rPr>
          <w:rFonts w:ascii="Arial" w:hAnsi="Arial" w:cs="Arial"/>
          <w:b/>
          <w:color w:val="231F20"/>
        </w:rPr>
        <w:t xml:space="preserve">3. </w:t>
      </w:r>
      <w:r w:rsidRPr="00945315">
        <w:rPr>
          <w:rFonts w:ascii="Arial" w:hAnsi="Arial" w:cs="Arial"/>
          <w:b/>
        </w:rPr>
        <w:t xml:space="preserve">Derechos de las víctimas, implementación constitucional del acuerdo de paz y el deber de ampliar la vigencia de la Ley 1448 de 2011 </w:t>
      </w:r>
      <w:r w:rsidR="00EA7EAF">
        <w:rPr>
          <w:rFonts w:ascii="Arial" w:hAnsi="Arial" w:cs="Arial"/>
          <w:b/>
        </w:rPr>
        <w:t xml:space="preserve">y los Decretos Ley </w:t>
      </w:r>
      <w:r w:rsidR="00B4772B">
        <w:rPr>
          <w:rFonts w:ascii="Arial" w:hAnsi="Arial" w:cs="Arial"/>
          <w:b/>
        </w:rPr>
        <w:t>Étnicos</w:t>
      </w:r>
    </w:p>
    <w:p w:rsidR="00945315" w:rsidRPr="00B514AD" w:rsidRDefault="00945315" w:rsidP="00017F19">
      <w:pPr>
        <w:pStyle w:val="Textoindependiente"/>
        <w:spacing w:before="82" w:line="228" w:lineRule="auto"/>
        <w:ind w:right="157" w:firstLine="283"/>
        <w:jc w:val="both"/>
        <w:rPr>
          <w:rFonts w:ascii="Arial" w:hAnsi="Arial" w:cs="Arial"/>
        </w:rPr>
      </w:pPr>
    </w:p>
    <w:p w:rsidR="00EC5F4C" w:rsidRPr="00B514AD" w:rsidRDefault="00EC5F4C" w:rsidP="00017F19">
      <w:pPr>
        <w:pStyle w:val="Textoindependiente"/>
        <w:spacing w:before="82" w:line="228" w:lineRule="auto"/>
        <w:ind w:right="157" w:firstLine="283"/>
        <w:jc w:val="both"/>
        <w:rPr>
          <w:rFonts w:ascii="Arial" w:hAnsi="Arial" w:cs="Arial"/>
        </w:rPr>
      </w:pPr>
      <w:r w:rsidRPr="00B514AD">
        <w:rPr>
          <w:rFonts w:ascii="Arial" w:hAnsi="Arial" w:cs="Arial"/>
          <w:color w:val="231F20"/>
        </w:rPr>
        <w:t xml:space="preserve">El Acto Legislativo 01 de </w:t>
      </w:r>
      <w:r w:rsidR="00B35D57" w:rsidRPr="00B514AD">
        <w:rPr>
          <w:rFonts w:ascii="Arial" w:hAnsi="Arial" w:cs="Arial"/>
          <w:color w:val="231F20"/>
        </w:rPr>
        <w:t>2016 introduce tres</w:t>
      </w:r>
      <w:r w:rsidRPr="00B514AD">
        <w:rPr>
          <w:rFonts w:ascii="Arial" w:hAnsi="Arial" w:cs="Arial"/>
          <w:color w:val="231F20"/>
        </w:rPr>
        <w:t xml:space="preserve"> artículos transitorios en la Constitución. El primero es el procedimiento legislativo especial para la paz (también llamado “</w:t>
      </w:r>
      <w:r w:rsidRPr="00B514AD">
        <w:rPr>
          <w:rFonts w:ascii="Arial" w:hAnsi="Arial" w:cs="Arial"/>
          <w:i/>
          <w:color w:val="231F20"/>
        </w:rPr>
        <w:t>fast track</w:t>
      </w:r>
      <w:r w:rsidRPr="00B514AD">
        <w:rPr>
          <w:rFonts w:ascii="Arial" w:hAnsi="Arial" w:cs="Arial"/>
          <w:color w:val="231F20"/>
        </w:rPr>
        <w:t>”), con el cual se faculta al Congreso a tramitar proyectos de ley y de Acto Legislativo de manera</w:t>
      </w:r>
      <w:r w:rsidRPr="00B514AD">
        <w:rPr>
          <w:rFonts w:ascii="Arial" w:hAnsi="Arial" w:cs="Arial"/>
          <w:color w:val="231F20"/>
          <w:spacing w:val="-38"/>
        </w:rPr>
        <w:t xml:space="preserve"> </w:t>
      </w:r>
      <w:r w:rsidRPr="00B514AD">
        <w:rPr>
          <w:rFonts w:ascii="Arial" w:hAnsi="Arial" w:cs="Arial"/>
          <w:color w:val="231F20"/>
        </w:rPr>
        <w:t>preferente y expedita con respecto a  otros  proyectos</w:t>
      </w:r>
      <w:r w:rsidRPr="00B514AD">
        <w:rPr>
          <w:rFonts w:ascii="Arial" w:hAnsi="Arial" w:cs="Arial"/>
          <w:color w:val="231F20"/>
          <w:spacing w:val="34"/>
        </w:rPr>
        <w:t xml:space="preserve"> </w:t>
      </w:r>
      <w:r w:rsidRPr="00B514AD">
        <w:rPr>
          <w:rFonts w:ascii="Arial" w:hAnsi="Arial" w:cs="Arial"/>
          <w:color w:val="231F20"/>
        </w:rPr>
        <w:t xml:space="preserve">que se presentaron en el Congreso de la República,   y siguiendo un procedimiento especial para la tramitación de los mismos;  también  dispuso  que estos proyectos para la paz son de iniciativa exclusiva del Gobierno nacional, además que la duración de esta disposición era de solo 180 días prorrogables por otros 180 días más. El segundo artículo le otorga al Presidente de la República </w:t>
      </w:r>
      <w:r w:rsidR="00B35D57" w:rsidRPr="00B514AD">
        <w:rPr>
          <w:rFonts w:ascii="Arial" w:hAnsi="Arial" w:cs="Arial"/>
          <w:color w:val="231F20"/>
        </w:rPr>
        <w:t>facultades especiales por el</w:t>
      </w:r>
      <w:r w:rsidRPr="00B514AD">
        <w:rPr>
          <w:rFonts w:ascii="Arial" w:hAnsi="Arial" w:cs="Arial"/>
          <w:color w:val="231F20"/>
        </w:rPr>
        <w:t xml:space="preserve">   mismo   periodo de tiempo del artículo anterior, para expedir Decretos</w:t>
      </w:r>
      <w:r w:rsidRPr="00B514AD">
        <w:rPr>
          <w:rFonts w:ascii="Arial" w:hAnsi="Arial" w:cs="Arial"/>
          <w:color w:val="231F20"/>
          <w:spacing w:val="-17"/>
        </w:rPr>
        <w:t xml:space="preserve"> </w:t>
      </w:r>
      <w:r w:rsidRPr="00B514AD">
        <w:rPr>
          <w:rFonts w:ascii="Arial" w:hAnsi="Arial" w:cs="Arial"/>
          <w:color w:val="231F20"/>
        </w:rPr>
        <w:t>con</w:t>
      </w:r>
      <w:r w:rsidRPr="00B514AD">
        <w:rPr>
          <w:rFonts w:ascii="Arial" w:hAnsi="Arial" w:cs="Arial"/>
          <w:color w:val="231F20"/>
          <w:spacing w:val="-17"/>
        </w:rPr>
        <w:t xml:space="preserve"> </w:t>
      </w:r>
      <w:r w:rsidRPr="00B514AD">
        <w:rPr>
          <w:rFonts w:ascii="Arial" w:hAnsi="Arial" w:cs="Arial"/>
          <w:color w:val="231F20"/>
        </w:rPr>
        <w:t>fuerza</w:t>
      </w:r>
      <w:r w:rsidRPr="00B514AD">
        <w:rPr>
          <w:rFonts w:ascii="Arial" w:hAnsi="Arial" w:cs="Arial"/>
          <w:color w:val="231F20"/>
          <w:spacing w:val="-17"/>
        </w:rPr>
        <w:t xml:space="preserve"> </w:t>
      </w:r>
      <w:r w:rsidRPr="00B514AD">
        <w:rPr>
          <w:rFonts w:ascii="Arial" w:hAnsi="Arial" w:cs="Arial"/>
          <w:color w:val="231F20"/>
        </w:rPr>
        <w:t>de</w:t>
      </w:r>
      <w:r w:rsidRPr="00B514AD">
        <w:rPr>
          <w:rFonts w:ascii="Arial" w:hAnsi="Arial" w:cs="Arial"/>
          <w:color w:val="231F20"/>
          <w:spacing w:val="-17"/>
        </w:rPr>
        <w:t xml:space="preserve"> </w:t>
      </w:r>
      <w:r w:rsidRPr="00B514AD">
        <w:rPr>
          <w:rFonts w:ascii="Arial" w:hAnsi="Arial" w:cs="Arial"/>
          <w:color w:val="231F20"/>
        </w:rPr>
        <w:t>Ley</w:t>
      </w:r>
      <w:r w:rsidRPr="00B514AD">
        <w:rPr>
          <w:rFonts w:ascii="Arial" w:hAnsi="Arial" w:cs="Arial"/>
          <w:color w:val="231F20"/>
          <w:spacing w:val="-17"/>
        </w:rPr>
        <w:t xml:space="preserve"> </w:t>
      </w:r>
      <w:r w:rsidRPr="00B514AD">
        <w:rPr>
          <w:rFonts w:ascii="Arial" w:hAnsi="Arial" w:cs="Arial"/>
          <w:color w:val="231F20"/>
        </w:rPr>
        <w:t>con</w:t>
      </w:r>
      <w:r w:rsidRPr="00B514AD">
        <w:rPr>
          <w:rFonts w:ascii="Arial" w:hAnsi="Arial" w:cs="Arial"/>
          <w:color w:val="231F20"/>
          <w:spacing w:val="-17"/>
        </w:rPr>
        <w:t xml:space="preserve"> </w:t>
      </w:r>
      <w:r w:rsidRPr="00B514AD">
        <w:rPr>
          <w:rFonts w:ascii="Arial" w:hAnsi="Arial" w:cs="Arial"/>
          <w:color w:val="231F20"/>
        </w:rPr>
        <w:t>el</w:t>
      </w:r>
      <w:r w:rsidRPr="00B514AD">
        <w:rPr>
          <w:rFonts w:ascii="Arial" w:hAnsi="Arial" w:cs="Arial"/>
          <w:color w:val="231F20"/>
          <w:spacing w:val="-17"/>
        </w:rPr>
        <w:t xml:space="preserve"> </w:t>
      </w:r>
      <w:r w:rsidRPr="00B514AD">
        <w:rPr>
          <w:rFonts w:ascii="Arial" w:hAnsi="Arial" w:cs="Arial"/>
          <w:color w:val="231F20"/>
        </w:rPr>
        <w:t>fin</w:t>
      </w:r>
      <w:r w:rsidRPr="00B514AD">
        <w:rPr>
          <w:rFonts w:ascii="Arial" w:hAnsi="Arial" w:cs="Arial"/>
          <w:color w:val="231F20"/>
          <w:spacing w:val="-17"/>
        </w:rPr>
        <w:t xml:space="preserve"> </w:t>
      </w:r>
      <w:r w:rsidRPr="00B514AD">
        <w:rPr>
          <w:rFonts w:ascii="Arial" w:hAnsi="Arial" w:cs="Arial"/>
          <w:color w:val="231F20"/>
        </w:rPr>
        <w:t>de</w:t>
      </w:r>
      <w:r w:rsidRPr="00B514AD">
        <w:rPr>
          <w:rFonts w:ascii="Arial" w:hAnsi="Arial" w:cs="Arial"/>
          <w:color w:val="231F20"/>
          <w:spacing w:val="-17"/>
        </w:rPr>
        <w:t xml:space="preserve"> </w:t>
      </w:r>
      <w:r w:rsidRPr="00B514AD">
        <w:rPr>
          <w:rFonts w:ascii="Arial" w:hAnsi="Arial" w:cs="Arial"/>
          <w:color w:val="231F20"/>
        </w:rPr>
        <w:t xml:space="preserve">garantizar el cumplimiento y desarrollo normativo del Acuerdo Final para la Terminación del Conflicto y la Construcción de una Paz Estable y Duradera. El tercer artículo es el Plan de Inversiones </w:t>
      </w:r>
      <w:r w:rsidR="00B35D57" w:rsidRPr="00B514AD">
        <w:rPr>
          <w:rFonts w:ascii="Arial" w:hAnsi="Arial" w:cs="Arial"/>
          <w:color w:val="231F20"/>
        </w:rPr>
        <w:t>para la</w:t>
      </w:r>
      <w:r w:rsidRPr="00B514AD">
        <w:rPr>
          <w:rFonts w:ascii="Arial" w:hAnsi="Arial" w:cs="Arial"/>
          <w:color w:val="231F20"/>
        </w:rPr>
        <w:t xml:space="preserve"> Paz que debe incluir </w:t>
      </w:r>
      <w:r w:rsidR="00B35D57" w:rsidRPr="00B514AD">
        <w:rPr>
          <w:rFonts w:ascii="Arial" w:hAnsi="Arial" w:cs="Arial"/>
          <w:color w:val="231F20"/>
        </w:rPr>
        <w:t>el Gobierno nacional por</w:t>
      </w:r>
      <w:r w:rsidRPr="00B514AD">
        <w:rPr>
          <w:rFonts w:ascii="Arial" w:hAnsi="Arial" w:cs="Arial"/>
          <w:color w:val="231F20"/>
        </w:rPr>
        <w:t xml:space="preserve"> los próximos 20 años en el Plan Nacional    de Desarrollo, que debe cumplir con algunos requisitos </w:t>
      </w:r>
      <w:r w:rsidR="00B35D57" w:rsidRPr="00B514AD">
        <w:rPr>
          <w:rFonts w:ascii="Arial" w:hAnsi="Arial" w:cs="Arial"/>
          <w:color w:val="231F20"/>
        </w:rPr>
        <w:t>como,</w:t>
      </w:r>
      <w:r w:rsidRPr="00B514AD">
        <w:rPr>
          <w:rFonts w:ascii="Arial" w:hAnsi="Arial" w:cs="Arial"/>
          <w:color w:val="231F20"/>
        </w:rPr>
        <w:t xml:space="preserve"> por ejemplo, la priorización de ciudadanos y entidades territoriales más</w:t>
      </w:r>
      <w:r w:rsidRPr="00B514AD">
        <w:rPr>
          <w:rFonts w:ascii="Arial" w:hAnsi="Arial" w:cs="Arial"/>
          <w:color w:val="231F20"/>
          <w:spacing w:val="-33"/>
        </w:rPr>
        <w:t xml:space="preserve"> </w:t>
      </w:r>
      <w:r w:rsidRPr="00B514AD">
        <w:rPr>
          <w:rFonts w:ascii="Arial" w:hAnsi="Arial" w:cs="Arial"/>
          <w:color w:val="231F20"/>
        </w:rPr>
        <w:t>afectadas por la pobreza rural y el conflicto armado, entre otros, y que los recursos deben ser adicionales a los que ya tengan destinados por las entidades de todos los</w:t>
      </w:r>
      <w:r w:rsidRPr="00B514AD">
        <w:rPr>
          <w:rFonts w:ascii="Arial" w:hAnsi="Arial" w:cs="Arial"/>
          <w:color w:val="231F20"/>
          <w:spacing w:val="3"/>
        </w:rPr>
        <w:t xml:space="preserve"> </w:t>
      </w:r>
      <w:r w:rsidRPr="00B514AD">
        <w:rPr>
          <w:rFonts w:ascii="Arial" w:hAnsi="Arial" w:cs="Arial"/>
          <w:color w:val="231F20"/>
        </w:rPr>
        <w:t>órdenes.</w:t>
      </w:r>
    </w:p>
    <w:p w:rsidR="00EC5F4C" w:rsidRPr="00B514AD" w:rsidRDefault="00EC5F4C" w:rsidP="00017F19">
      <w:pPr>
        <w:pStyle w:val="Textoindependiente"/>
        <w:spacing w:before="56" w:line="228" w:lineRule="auto"/>
        <w:ind w:right="158" w:firstLine="283"/>
        <w:jc w:val="both"/>
        <w:rPr>
          <w:rFonts w:ascii="Arial" w:hAnsi="Arial" w:cs="Arial"/>
        </w:rPr>
      </w:pPr>
      <w:r w:rsidRPr="00B514AD">
        <w:rPr>
          <w:rFonts w:ascii="Arial" w:hAnsi="Arial" w:cs="Arial"/>
          <w:color w:val="231F20"/>
        </w:rPr>
        <w:t>Por su parte, el Acto Legislativo 02 de 2017 introduce</w:t>
      </w:r>
      <w:r w:rsidRPr="00B514AD">
        <w:rPr>
          <w:rFonts w:ascii="Arial" w:hAnsi="Arial" w:cs="Arial"/>
          <w:color w:val="231F20"/>
          <w:spacing w:val="-16"/>
        </w:rPr>
        <w:t xml:space="preserve"> </w:t>
      </w:r>
      <w:r w:rsidRPr="00B514AD">
        <w:rPr>
          <w:rFonts w:ascii="Arial" w:hAnsi="Arial" w:cs="Arial"/>
          <w:color w:val="231F20"/>
        </w:rPr>
        <w:t>un</w:t>
      </w:r>
      <w:r w:rsidRPr="00B514AD">
        <w:rPr>
          <w:rFonts w:ascii="Arial" w:hAnsi="Arial" w:cs="Arial"/>
          <w:color w:val="231F20"/>
          <w:spacing w:val="-16"/>
        </w:rPr>
        <w:t xml:space="preserve"> </w:t>
      </w:r>
      <w:r w:rsidRPr="00B514AD">
        <w:rPr>
          <w:rFonts w:ascii="Arial" w:hAnsi="Arial" w:cs="Arial"/>
          <w:color w:val="231F20"/>
        </w:rPr>
        <w:t>artículo</w:t>
      </w:r>
      <w:r w:rsidRPr="00B514AD">
        <w:rPr>
          <w:rFonts w:ascii="Arial" w:hAnsi="Arial" w:cs="Arial"/>
          <w:color w:val="231F20"/>
          <w:spacing w:val="-16"/>
        </w:rPr>
        <w:t xml:space="preserve"> </w:t>
      </w:r>
      <w:r w:rsidRPr="00B514AD">
        <w:rPr>
          <w:rFonts w:ascii="Arial" w:hAnsi="Arial" w:cs="Arial"/>
          <w:color w:val="231F20"/>
        </w:rPr>
        <w:t>transitorio</w:t>
      </w:r>
      <w:r w:rsidRPr="00B514AD">
        <w:rPr>
          <w:rFonts w:ascii="Arial" w:hAnsi="Arial" w:cs="Arial"/>
          <w:color w:val="231F20"/>
          <w:spacing w:val="-16"/>
        </w:rPr>
        <w:t xml:space="preserve"> </w:t>
      </w:r>
      <w:r w:rsidRPr="00B514AD">
        <w:rPr>
          <w:rFonts w:ascii="Arial" w:hAnsi="Arial" w:cs="Arial"/>
          <w:color w:val="231F20"/>
        </w:rPr>
        <w:t>de</w:t>
      </w:r>
      <w:r w:rsidRPr="00B514AD">
        <w:rPr>
          <w:rFonts w:ascii="Arial" w:hAnsi="Arial" w:cs="Arial"/>
          <w:color w:val="231F20"/>
          <w:spacing w:val="-15"/>
        </w:rPr>
        <w:t xml:space="preserve"> </w:t>
      </w:r>
      <w:r w:rsidRPr="00B514AD">
        <w:rPr>
          <w:rFonts w:ascii="Arial" w:hAnsi="Arial" w:cs="Arial"/>
          <w:color w:val="231F20"/>
        </w:rPr>
        <w:t>la</w:t>
      </w:r>
      <w:r w:rsidRPr="00B514AD">
        <w:rPr>
          <w:rFonts w:ascii="Arial" w:hAnsi="Arial" w:cs="Arial"/>
          <w:color w:val="231F20"/>
          <w:spacing w:val="-16"/>
        </w:rPr>
        <w:t xml:space="preserve"> </w:t>
      </w:r>
      <w:r w:rsidRPr="00B514AD">
        <w:rPr>
          <w:rFonts w:ascii="Arial" w:hAnsi="Arial" w:cs="Arial"/>
          <w:color w:val="231F20"/>
        </w:rPr>
        <w:t>Constitución y deroga el art. 4° del Acto Legislativo 01 de 2016. Este artículo transitorio constitucional dispone que las normas de derecho internacional humanitario o derechos fundamentales ya incluidos en la Constitución obligatoriamente serán criterios de interpretación para la validez</w:t>
      </w:r>
      <w:r w:rsidRPr="00B514AD">
        <w:rPr>
          <w:rFonts w:ascii="Arial" w:hAnsi="Arial" w:cs="Arial"/>
          <w:color w:val="231F20"/>
          <w:spacing w:val="-20"/>
        </w:rPr>
        <w:t xml:space="preserve"> </w:t>
      </w:r>
      <w:r w:rsidRPr="00B514AD">
        <w:rPr>
          <w:rFonts w:ascii="Arial" w:hAnsi="Arial" w:cs="Arial"/>
          <w:color w:val="231F20"/>
        </w:rPr>
        <w:t>de las normas de implementación y</w:t>
      </w:r>
      <w:r w:rsidRPr="00B514AD">
        <w:rPr>
          <w:rFonts w:ascii="Arial" w:hAnsi="Arial" w:cs="Arial"/>
          <w:color w:val="231F20"/>
          <w:spacing w:val="28"/>
        </w:rPr>
        <w:t xml:space="preserve"> </w:t>
      </w:r>
      <w:r w:rsidRPr="00B514AD">
        <w:rPr>
          <w:rFonts w:ascii="Arial" w:hAnsi="Arial" w:cs="Arial"/>
          <w:color w:val="231F20"/>
        </w:rPr>
        <w:t>funcionamiento</w:t>
      </w:r>
      <w:r w:rsidR="00017F19" w:rsidRPr="00B514AD">
        <w:rPr>
          <w:rFonts w:ascii="Arial" w:hAnsi="Arial" w:cs="Arial"/>
          <w:color w:val="231F20"/>
        </w:rPr>
        <w:t xml:space="preserve"> </w:t>
      </w:r>
      <w:r w:rsidRPr="00B514AD">
        <w:rPr>
          <w:rFonts w:ascii="Arial" w:hAnsi="Arial" w:cs="Arial"/>
          <w:color w:val="231F20"/>
        </w:rPr>
        <w:t>del Acuerdo de Paz, con el fin de garantizar el</w:t>
      </w:r>
      <w:r w:rsidR="00017F19" w:rsidRPr="00B514AD">
        <w:rPr>
          <w:rFonts w:ascii="Arial" w:hAnsi="Arial" w:cs="Arial"/>
          <w:color w:val="231F20"/>
        </w:rPr>
        <w:t xml:space="preserve"> </w:t>
      </w:r>
      <w:r w:rsidRPr="00B514AD">
        <w:rPr>
          <w:rFonts w:ascii="Arial" w:hAnsi="Arial" w:cs="Arial"/>
          <w:color w:val="231F20"/>
        </w:rPr>
        <w:t>efectivo desarrollo del derecho a la paz.</w:t>
      </w:r>
    </w:p>
    <w:p w:rsidR="00EC5F4C" w:rsidRPr="00B514AD" w:rsidRDefault="00EC5F4C" w:rsidP="00017F19">
      <w:pPr>
        <w:pStyle w:val="Textoindependiente"/>
        <w:spacing w:before="82" w:line="223" w:lineRule="auto"/>
        <w:ind w:right="39" w:firstLine="283"/>
        <w:jc w:val="both"/>
        <w:rPr>
          <w:rFonts w:ascii="Arial" w:hAnsi="Arial" w:cs="Arial"/>
        </w:rPr>
      </w:pPr>
      <w:r w:rsidRPr="00B514AD">
        <w:rPr>
          <w:rFonts w:ascii="Arial" w:hAnsi="Arial" w:cs="Arial"/>
          <w:color w:val="231F20"/>
        </w:rPr>
        <w:t xml:space="preserve">También ordena que el aparato estatal está obligado a cumplir de buena fe con todo lo establecido en el Acuerdo, y que por lo tanto todas sus actuaciones deben guardar </w:t>
      </w:r>
      <w:r w:rsidR="00B35D57" w:rsidRPr="00B514AD">
        <w:rPr>
          <w:rFonts w:ascii="Arial" w:hAnsi="Arial" w:cs="Arial"/>
          <w:color w:val="231F20"/>
        </w:rPr>
        <w:t>coherencia e</w:t>
      </w:r>
      <w:r w:rsidRPr="00B514AD">
        <w:rPr>
          <w:rFonts w:ascii="Arial" w:hAnsi="Arial" w:cs="Arial"/>
          <w:color w:val="231F20"/>
        </w:rPr>
        <w:t xml:space="preserve"> integralidad con lo</w:t>
      </w:r>
      <w:r w:rsidRPr="00B514AD">
        <w:rPr>
          <w:rFonts w:ascii="Arial" w:hAnsi="Arial" w:cs="Arial"/>
          <w:color w:val="231F20"/>
          <w:spacing w:val="10"/>
        </w:rPr>
        <w:t xml:space="preserve"> </w:t>
      </w:r>
      <w:r w:rsidRPr="00B514AD">
        <w:rPr>
          <w:rFonts w:ascii="Arial" w:hAnsi="Arial" w:cs="Arial"/>
          <w:color w:val="231F20"/>
        </w:rPr>
        <w:t>acordado.</w:t>
      </w:r>
    </w:p>
    <w:p w:rsidR="00EC5F4C" w:rsidRPr="00B514AD" w:rsidRDefault="00EC5F4C" w:rsidP="00017F19">
      <w:pPr>
        <w:pStyle w:val="Textoindependiente"/>
        <w:spacing w:before="86" w:line="223" w:lineRule="auto"/>
        <w:ind w:right="38" w:firstLine="283"/>
        <w:jc w:val="both"/>
        <w:rPr>
          <w:rFonts w:ascii="Arial" w:hAnsi="Arial" w:cs="Arial"/>
        </w:rPr>
      </w:pPr>
      <w:r w:rsidRPr="00B514AD">
        <w:rPr>
          <w:rFonts w:ascii="Arial" w:hAnsi="Arial" w:cs="Arial"/>
          <w:color w:val="231F20"/>
        </w:rPr>
        <w:t>Como se observa ninguno de los dos</w:t>
      </w:r>
      <w:r w:rsidRPr="00B514AD">
        <w:rPr>
          <w:rFonts w:ascii="Arial" w:hAnsi="Arial" w:cs="Arial"/>
          <w:color w:val="231F20"/>
          <w:spacing w:val="43"/>
        </w:rPr>
        <w:t xml:space="preserve"> </w:t>
      </w:r>
      <w:r w:rsidRPr="00B514AD">
        <w:rPr>
          <w:rFonts w:ascii="Arial" w:hAnsi="Arial" w:cs="Arial"/>
          <w:color w:val="231F20"/>
        </w:rPr>
        <w:t>actos legislativos</w:t>
      </w:r>
      <w:r w:rsidRPr="00B514AD">
        <w:rPr>
          <w:rFonts w:ascii="Arial" w:hAnsi="Arial" w:cs="Arial"/>
          <w:color w:val="231F20"/>
          <w:spacing w:val="-13"/>
        </w:rPr>
        <w:t xml:space="preserve"> </w:t>
      </w:r>
      <w:r w:rsidRPr="00B514AD">
        <w:rPr>
          <w:rFonts w:ascii="Arial" w:hAnsi="Arial" w:cs="Arial"/>
          <w:color w:val="231F20"/>
        </w:rPr>
        <w:t>menciona</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manera</w:t>
      </w:r>
      <w:r w:rsidRPr="00B514AD">
        <w:rPr>
          <w:rFonts w:ascii="Arial" w:hAnsi="Arial" w:cs="Arial"/>
          <w:color w:val="231F20"/>
          <w:spacing w:val="-13"/>
        </w:rPr>
        <w:t xml:space="preserve"> </w:t>
      </w:r>
      <w:r w:rsidRPr="00B514AD">
        <w:rPr>
          <w:rFonts w:ascii="Arial" w:hAnsi="Arial" w:cs="Arial"/>
          <w:color w:val="231F20"/>
        </w:rPr>
        <w:t>expresa</w:t>
      </w:r>
      <w:r w:rsidRPr="00B514AD">
        <w:rPr>
          <w:rFonts w:ascii="Arial" w:hAnsi="Arial" w:cs="Arial"/>
          <w:color w:val="231F20"/>
          <w:spacing w:val="-12"/>
        </w:rPr>
        <w:t xml:space="preserve"> </w:t>
      </w:r>
      <w:r w:rsidRPr="00B514AD">
        <w:rPr>
          <w:rFonts w:ascii="Arial" w:hAnsi="Arial" w:cs="Arial"/>
          <w:color w:val="231F20"/>
        </w:rPr>
        <w:t>ni</w:t>
      </w:r>
      <w:r w:rsidRPr="00B514AD">
        <w:rPr>
          <w:rFonts w:ascii="Arial" w:hAnsi="Arial" w:cs="Arial"/>
          <w:color w:val="231F20"/>
          <w:spacing w:val="-12"/>
        </w:rPr>
        <w:t xml:space="preserve"> </w:t>
      </w:r>
      <w:r w:rsidRPr="00B514AD">
        <w:rPr>
          <w:rFonts w:ascii="Arial" w:hAnsi="Arial" w:cs="Arial"/>
          <w:color w:val="231F20"/>
        </w:rPr>
        <w:t>la</w:t>
      </w:r>
      <w:r w:rsidRPr="00B514AD">
        <w:rPr>
          <w:rFonts w:ascii="Arial" w:hAnsi="Arial" w:cs="Arial"/>
          <w:color w:val="231F20"/>
          <w:spacing w:val="-12"/>
        </w:rPr>
        <w:t xml:space="preserve"> </w:t>
      </w:r>
      <w:r w:rsidRPr="00B514AD">
        <w:rPr>
          <w:rFonts w:ascii="Arial" w:hAnsi="Arial" w:cs="Arial"/>
          <w:color w:val="231F20"/>
        </w:rPr>
        <w:t>Ley 1448 de 2011, ni los derechos de las víctimas, sin embargo</w:t>
      </w:r>
      <w:r w:rsidRPr="00B514AD">
        <w:rPr>
          <w:rFonts w:ascii="Arial" w:hAnsi="Arial" w:cs="Arial"/>
          <w:color w:val="231F20"/>
          <w:spacing w:val="-24"/>
        </w:rPr>
        <w:t xml:space="preserve"> </w:t>
      </w:r>
      <w:r w:rsidRPr="00B514AD">
        <w:rPr>
          <w:rFonts w:ascii="Arial" w:hAnsi="Arial" w:cs="Arial"/>
          <w:color w:val="231F20"/>
        </w:rPr>
        <w:t>para</w:t>
      </w:r>
      <w:r w:rsidRPr="00B514AD">
        <w:rPr>
          <w:rFonts w:ascii="Arial" w:hAnsi="Arial" w:cs="Arial"/>
          <w:color w:val="231F20"/>
          <w:spacing w:val="-24"/>
        </w:rPr>
        <w:t xml:space="preserve"> </w:t>
      </w:r>
      <w:r w:rsidRPr="00B514AD">
        <w:rPr>
          <w:rFonts w:ascii="Arial" w:hAnsi="Arial" w:cs="Arial"/>
          <w:color w:val="231F20"/>
        </w:rPr>
        <w:t>el</w:t>
      </w:r>
      <w:r w:rsidRPr="00B514AD">
        <w:rPr>
          <w:rFonts w:ascii="Arial" w:hAnsi="Arial" w:cs="Arial"/>
          <w:color w:val="231F20"/>
          <w:spacing w:val="-24"/>
        </w:rPr>
        <w:t xml:space="preserve"> </w:t>
      </w:r>
      <w:r w:rsidRPr="00B514AD">
        <w:rPr>
          <w:rFonts w:ascii="Arial" w:hAnsi="Arial" w:cs="Arial"/>
          <w:color w:val="231F20"/>
        </w:rPr>
        <w:t>cabal</w:t>
      </w:r>
      <w:r w:rsidRPr="00B514AD">
        <w:rPr>
          <w:rFonts w:ascii="Arial" w:hAnsi="Arial" w:cs="Arial"/>
          <w:color w:val="231F20"/>
          <w:spacing w:val="-24"/>
        </w:rPr>
        <w:t xml:space="preserve"> </w:t>
      </w:r>
      <w:r w:rsidRPr="00B514AD">
        <w:rPr>
          <w:rFonts w:ascii="Arial" w:hAnsi="Arial" w:cs="Arial"/>
          <w:color w:val="231F20"/>
        </w:rPr>
        <w:t>entendimiento</w:t>
      </w:r>
      <w:r w:rsidRPr="00B514AD">
        <w:rPr>
          <w:rFonts w:ascii="Arial" w:hAnsi="Arial" w:cs="Arial"/>
          <w:color w:val="231F20"/>
          <w:spacing w:val="-24"/>
        </w:rPr>
        <w:t xml:space="preserve"> </w:t>
      </w:r>
      <w:r w:rsidRPr="00B514AD">
        <w:rPr>
          <w:rFonts w:ascii="Arial" w:hAnsi="Arial" w:cs="Arial"/>
          <w:color w:val="231F20"/>
        </w:rPr>
        <w:t>de</w:t>
      </w:r>
      <w:r w:rsidRPr="00B514AD">
        <w:rPr>
          <w:rFonts w:ascii="Arial" w:hAnsi="Arial" w:cs="Arial"/>
          <w:color w:val="231F20"/>
          <w:spacing w:val="-24"/>
        </w:rPr>
        <w:t xml:space="preserve"> </w:t>
      </w:r>
      <w:r w:rsidRPr="00B514AD">
        <w:rPr>
          <w:rFonts w:ascii="Arial" w:hAnsi="Arial" w:cs="Arial"/>
          <w:color w:val="231F20"/>
        </w:rPr>
        <w:t>estos</w:t>
      </w:r>
      <w:r w:rsidRPr="00B514AD">
        <w:rPr>
          <w:rFonts w:ascii="Arial" w:hAnsi="Arial" w:cs="Arial"/>
          <w:color w:val="231F20"/>
          <w:spacing w:val="-24"/>
        </w:rPr>
        <w:t xml:space="preserve"> </w:t>
      </w:r>
      <w:r w:rsidRPr="00B514AD">
        <w:rPr>
          <w:rFonts w:ascii="Arial" w:hAnsi="Arial" w:cs="Arial"/>
          <w:color w:val="231F20"/>
        </w:rPr>
        <w:t>actos legislativos, debe tenerse en cuenta que la misma Corte Constitucional indicó que el Acuerdo Final no</w:t>
      </w:r>
      <w:r w:rsidRPr="00B514AD">
        <w:rPr>
          <w:rFonts w:ascii="Arial" w:hAnsi="Arial" w:cs="Arial"/>
          <w:color w:val="231F20"/>
          <w:spacing w:val="-16"/>
        </w:rPr>
        <w:t xml:space="preserve"> </w:t>
      </w:r>
      <w:r w:rsidRPr="00B514AD">
        <w:rPr>
          <w:rFonts w:ascii="Arial" w:hAnsi="Arial" w:cs="Arial"/>
          <w:color w:val="231F20"/>
        </w:rPr>
        <w:t>tiene</w:t>
      </w:r>
      <w:r w:rsidRPr="00B514AD">
        <w:rPr>
          <w:rFonts w:ascii="Arial" w:hAnsi="Arial" w:cs="Arial"/>
          <w:color w:val="231F20"/>
          <w:spacing w:val="-16"/>
        </w:rPr>
        <w:t xml:space="preserve"> </w:t>
      </w:r>
      <w:r w:rsidRPr="00B514AD">
        <w:rPr>
          <w:rFonts w:ascii="Arial" w:hAnsi="Arial" w:cs="Arial"/>
          <w:color w:val="231F20"/>
        </w:rPr>
        <w:t>un</w:t>
      </w:r>
      <w:r w:rsidRPr="00B514AD">
        <w:rPr>
          <w:rFonts w:ascii="Arial" w:hAnsi="Arial" w:cs="Arial"/>
          <w:color w:val="231F20"/>
          <w:spacing w:val="-16"/>
        </w:rPr>
        <w:t xml:space="preserve"> </w:t>
      </w:r>
      <w:r w:rsidRPr="00B514AD">
        <w:rPr>
          <w:rFonts w:ascii="Arial" w:hAnsi="Arial" w:cs="Arial"/>
          <w:color w:val="231F20"/>
        </w:rPr>
        <w:t>valor</w:t>
      </w:r>
      <w:r w:rsidRPr="00B514AD">
        <w:rPr>
          <w:rFonts w:ascii="Arial" w:hAnsi="Arial" w:cs="Arial"/>
          <w:color w:val="231F20"/>
          <w:spacing w:val="-16"/>
        </w:rPr>
        <w:t xml:space="preserve"> </w:t>
      </w:r>
      <w:r w:rsidRPr="00B514AD">
        <w:rPr>
          <w:rFonts w:ascii="Arial" w:hAnsi="Arial" w:cs="Arial"/>
          <w:color w:val="231F20"/>
        </w:rPr>
        <w:t>normativo</w:t>
      </w:r>
      <w:r w:rsidRPr="00B514AD">
        <w:rPr>
          <w:rFonts w:ascii="Arial" w:hAnsi="Arial" w:cs="Arial"/>
          <w:color w:val="231F20"/>
          <w:spacing w:val="-16"/>
        </w:rPr>
        <w:t xml:space="preserve"> </w:t>
      </w:r>
      <w:r w:rsidRPr="00B514AD">
        <w:rPr>
          <w:rFonts w:ascii="Arial" w:hAnsi="Arial" w:cs="Arial"/>
          <w:i/>
          <w:color w:val="231F20"/>
        </w:rPr>
        <w:t>per</w:t>
      </w:r>
      <w:r w:rsidRPr="00B514AD">
        <w:rPr>
          <w:rFonts w:ascii="Arial" w:hAnsi="Arial" w:cs="Arial"/>
          <w:i/>
          <w:color w:val="231F20"/>
          <w:spacing w:val="-16"/>
        </w:rPr>
        <w:t xml:space="preserve"> </w:t>
      </w:r>
      <w:r w:rsidRPr="00B514AD">
        <w:rPr>
          <w:rFonts w:ascii="Arial" w:hAnsi="Arial" w:cs="Arial"/>
          <w:i/>
          <w:color w:val="231F20"/>
        </w:rPr>
        <w:t>se,</w:t>
      </w:r>
      <w:r w:rsidRPr="00B514AD">
        <w:rPr>
          <w:rFonts w:ascii="Arial" w:hAnsi="Arial" w:cs="Arial"/>
          <w:i/>
          <w:color w:val="231F20"/>
          <w:spacing w:val="-16"/>
        </w:rPr>
        <w:t xml:space="preserve"> </w:t>
      </w:r>
      <w:r w:rsidRPr="00B514AD">
        <w:rPr>
          <w:rFonts w:ascii="Arial" w:hAnsi="Arial" w:cs="Arial"/>
          <w:color w:val="231F20"/>
        </w:rPr>
        <w:t>lo</w:t>
      </w:r>
      <w:r w:rsidRPr="00B514AD">
        <w:rPr>
          <w:rFonts w:ascii="Arial" w:hAnsi="Arial" w:cs="Arial"/>
          <w:color w:val="231F20"/>
          <w:spacing w:val="-16"/>
        </w:rPr>
        <w:t xml:space="preserve"> </w:t>
      </w:r>
      <w:r w:rsidRPr="00B514AD">
        <w:rPr>
          <w:rFonts w:ascii="Arial" w:hAnsi="Arial" w:cs="Arial"/>
          <w:color w:val="231F20"/>
        </w:rPr>
        <w:t>que</w:t>
      </w:r>
      <w:r w:rsidRPr="00B514AD">
        <w:rPr>
          <w:rFonts w:ascii="Arial" w:hAnsi="Arial" w:cs="Arial"/>
          <w:color w:val="231F20"/>
          <w:spacing w:val="-15"/>
        </w:rPr>
        <w:t xml:space="preserve"> </w:t>
      </w:r>
      <w:r w:rsidRPr="00B514AD">
        <w:rPr>
          <w:rFonts w:ascii="Arial" w:hAnsi="Arial" w:cs="Arial"/>
          <w:color w:val="231F20"/>
        </w:rPr>
        <w:t xml:space="preserve">significa que </w:t>
      </w:r>
      <w:r w:rsidRPr="00B514AD">
        <w:rPr>
          <w:rFonts w:ascii="Arial" w:hAnsi="Arial" w:cs="Arial"/>
          <w:i/>
          <w:color w:val="231F20"/>
        </w:rPr>
        <w:t xml:space="preserve">ex ante </w:t>
      </w:r>
      <w:r w:rsidRPr="00B514AD">
        <w:rPr>
          <w:rFonts w:ascii="Arial" w:hAnsi="Arial" w:cs="Arial"/>
          <w:color w:val="231F20"/>
        </w:rPr>
        <w:t>de la activación de los mecanismos de implementación y desarrollo, como política de Gobierno</w:t>
      </w:r>
      <w:r w:rsidRPr="00B514AD">
        <w:rPr>
          <w:rFonts w:ascii="Arial" w:hAnsi="Arial" w:cs="Arial"/>
          <w:color w:val="231F20"/>
          <w:spacing w:val="-11"/>
        </w:rPr>
        <w:t xml:space="preserve"> </w:t>
      </w:r>
      <w:r w:rsidRPr="00B514AD">
        <w:rPr>
          <w:rFonts w:ascii="Arial" w:hAnsi="Arial" w:cs="Arial"/>
          <w:color w:val="231F20"/>
        </w:rPr>
        <w:t>vincula</w:t>
      </w:r>
      <w:r w:rsidRPr="00B514AD">
        <w:rPr>
          <w:rFonts w:ascii="Arial" w:hAnsi="Arial" w:cs="Arial"/>
          <w:color w:val="231F20"/>
          <w:spacing w:val="-10"/>
        </w:rPr>
        <w:t xml:space="preserve"> </w:t>
      </w:r>
      <w:r w:rsidRPr="00B514AD">
        <w:rPr>
          <w:rFonts w:ascii="Arial" w:hAnsi="Arial" w:cs="Arial"/>
          <w:color w:val="231F20"/>
        </w:rPr>
        <w:t>al</w:t>
      </w:r>
      <w:r w:rsidRPr="00B514AD">
        <w:rPr>
          <w:rFonts w:ascii="Arial" w:hAnsi="Arial" w:cs="Arial"/>
          <w:color w:val="231F20"/>
          <w:spacing w:val="-10"/>
        </w:rPr>
        <w:t xml:space="preserve"> </w:t>
      </w:r>
      <w:r w:rsidRPr="00B514AD">
        <w:rPr>
          <w:rFonts w:ascii="Arial" w:hAnsi="Arial" w:cs="Arial"/>
          <w:color w:val="231F20"/>
        </w:rPr>
        <w:t>Gobierno</w:t>
      </w:r>
      <w:r w:rsidRPr="00B514AD">
        <w:rPr>
          <w:rFonts w:ascii="Arial" w:hAnsi="Arial" w:cs="Arial"/>
          <w:color w:val="231F20"/>
          <w:spacing w:val="-10"/>
        </w:rPr>
        <w:t xml:space="preserve"> </w:t>
      </w:r>
      <w:r w:rsidRPr="00B514AD">
        <w:rPr>
          <w:rFonts w:ascii="Arial" w:hAnsi="Arial" w:cs="Arial"/>
          <w:color w:val="231F20"/>
        </w:rPr>
        <w:t>nacional</w:t>
      </w:r>
      <w:r w:rsidRPr="00B514AD">
        <w:rPr>
          <w:rFonts w:ascii="Arial" w:hAnsi="Arial" w:cs="Arial"/>
          <w:color w:val="231F20"/>
          <w:spacing w:val="-11"/>
        </w:rPr>
        <w:t xml:space="preserve"> </w:t>
      </w:r>
      <w:r w:rsidRPr="00B514AD">
        <w:rPr>
          <w:rFonts w:ascii="Arial" w:hAnsi="Arial" w:cs="Arial"/>
          <w:color w:val="231F20"/>
        </w:rPr>
        <w:t>y</w:t>
      </w:r>
      <w:r w:rsidRPr="00B514AD">
        <w:rPr>
          <w:rFonts w:ascii="Arial" w:hAnsi="Arial" w:cs="Arial"/>
          <w:color w:val="231F20"/>
          <w:spacing w:val="-10"/>
        </w:rPr>
        <w:t xml:space="preserve"> </w:t>
      </w:r>
      <w:r w:rsidRPr="00B514AD">
        <w:rPr>
          <w:rFonts w:ascii="Arial" w:hAnsi="Arial" w:cs="Arial"/>
          <w:color w:val="231F20"/>
        </w:rPr>
        <w:t>lo</w:t>
      </w:r>
      <w:r w:rsidRPr="00B514AD">
        <w:rPr>
          <w:rFonts w:ascii="Arial" w:hAnsi="Arial" w:cs="Arial"/>
          <w:color w:val="231F20"/>
          <w:spacing w:val="-10"/>
        </w:rPr>
        <w:t xml:space="preserve"> </w:t>
      </w:r>
      <w:r w:rsidRPr="00B514AD">
        <w:rPr>
          <w:rFonts w:ascii="Arial" w:hAnsi="Arial" w:cs="Arial"/>
          <w:color w:val="231F20"/>
        </w:rPr>
        <w:t xml:space="preserve">obliga a  impulsar  su  implementación.  </w:t>
      </w:r>
      <w:r w:rsidR="00B35D57" w:rsidRPr="00B514AD">
        <w:rPr>
          <w:rFonts w:ascii="Arial" w:hAnsi="Arial" w:cs="Arial"/>
          <w:color w:val="231F20"/>
        </w:rPr>
        <w:t>Sin embargo, a</w:t>
      </w:r>
      <w:r w:rsidRPr="00B514AD">
        <w:rPr>
          <w:rFonts w:ascii="Arial" w:hAnsi="Arial" w:cs="Arial"/>
          <w:color w:val="231F20"/>
        </w:rPr>
        <w:t xml:space="preserve"> partir del Acto Legislativo 02 de 2017, los contenidos del Acuerdo Final que </w:t>
      </w:r>
      <w:r w:rsidR="00B35D57" w:rsidRPr="00B514AD">
        <w:rPr>
          <w:rFonts w:ascii="Arial" w:hAnsi="Arial" w:cs="Arial"/>
          <w:color w:val="231F20"/>
        </w:rPr>
        <w:t>correspondan a</w:t>
      </w:r>
      <w:r w:rsidRPr="00B514AD">
        <w:rPr>
          <w:rFonts w:ascii="Arial" w:hAnsi="Arial" w:cs="Arial"/>
          <w:color w:val="231F20"/>
        </w:rPr>
        <w:t xml:space="preserve"> normas de derecho internacional humanitario   y a derechos fundamentales consagrados en</w:t>
      </w:r>
      <w:r w:rsidRPr="00B514AD">
        <w:rPr>
          <w:rFonts w:ascii="Arial" w:hAnsi="Arial" w:cs="Arial"/>
          <w:color w:val="231F20"/>
          <w:spacing w:val="37"/>
        </w:rPr>
        <w:t xml:space="preserve"> </w:t>
      </w:r>
      <w:r w:rsidRPr="00B514AD">
        <w:rPr>
          <w:rFonts w:ascii="Arial" w:hAnsi="Arial" w:cs="Arial"/>
          <w:color w:val="231F20"/>
        </w:rPr>
        <w:t xml:space="preserve">la Constitución serán parámetros de interpretación y referentes de desarrollo y validez de las normas de implementación de lo pactado, con </w:t>
      </w:r>
      <w:r w:rsidR="00B35D57" w:rsidRPr="00B514AD">
        <w:rPr>
          <w:rFonts w:ascii="Arial" w:hAnsi="Arial" w:cs="Arial"/>
          <w:color w:val="231F20"/>
        </w:rPr>
        <w:t xml:space="preserve">sujeción </w:t>
      </w:r>
      <w:r w:rsidR="00B35D57" w:rsidRPr="00B514AD">
        <w:rPr>
          <w:rFonts w:ascii="Arial" w:hAnsi="Arial" w:cs="Arial"/>
          <w:color w:val="231F20"/>
        </w:rPr>
        <w:lastRenderedPageBreak/>
        <w:t>al</w:t>
      </w:r>
      <w:r w:rsidRPr="00B514AD">
        <w:rPr>
          <w:rFonts w:ascii="Arial" w:hAnsi="Arial" w:cs="Arial"/>
          <w:color w:val="231F20"/>
        </w:rPr>
        <w:t xml:space="preserve"> ordenamiento constitucional. Igualmente, a partir de ese acto legislativo el Acuerdo se adopta como política de Estado, de manera que </w:t>
      </w:r>
      <w:r w:rsidR="00B35D57" w:rsidRPr="00B514AD">
        <w:rPr>
          <w:rFonts w:ascii="Arial" w:hAnsi="Arial" w:cs="Arial"/>
          <w:color w:val="231F20"/>
        </w:rPr>
        <w:t>todos los</w:t>
      </w:r>
      <w:r w:rsidRPr="00B514AD">
        <w:rPr>
          <w:rFonts w:ascii="Arial" w:hAnsi="Arial" w:cs="Arial"/>
          <w:color w:val="231F20"/>
        </w:rPr>
        <w:t xml:space="preserve"> órganos, instituciones y autoridades del Estado, se </w:t>
      </w:r>
      <w:r w:rsidR="00B35D57" w:rsidRPr="00B514AD">
        <w:rPr>
          <w:rFonts w:ascii="Arial" w:hAnsi="Arial" w:cs="Arial"/>
          <w:color w:val="231F20"/>
        </w:rPr>
        <w:t>encuentran comprometidos con su desarrollo</w:t>
      </w:r>
      <w:r w:rsidRPr="00B514AD">
        <w:rPr>
          <w:rFonts w:ascii="Arial" w:hAnsi="Arial" w:cs="Arial"/>
          <w:color w:val="231F20"/>
        </w:rPr>
        <w:t xml:space="preserve"> e implementación de buena fe, </w:t>
      </w:r>
      <w:r w:rsidR="00B35D57" w:rsidRPr="00B514AD">
        <w:rPr>
          <w:rFonts w:ascii="Arial" w:hAnsi="Arial" w:cs="Arial"/>
          <w:color w:val="231F20"/>
        </w:rPr>
        <w:t>y,</w:t>
      </w:r>
      <w:r w:rsidRPr="00B514AD">
        <w:rPr>
          <w:rFonts w:ascii="Arial" w:hAnsi="Arial" w:cs="Arial"/>
          <w:color w:val="231F20"/>
        </w:rPr>
        <w:t xml:space="preserve"> por tanto, cualquier desarrollo de este debe tener por objeto su cabal cumplimiento y guardar coherencia con sus contenidos, finalidades, espíritu y principios. Por la misma </w:t>
      </w:r>
      <w:r w:rsidR="00B35D57" w:rsidRPr="00B514AD">
        <w:rPr>
          <w:rFonts w:ascii="Arial" w:hAnsi="Arial" w:cs="Arial"/>
          <w:color w:val="231F20"/>
        </w:rPr>
        <w:t>razón de su reconocimiento como</w:t>
      </w:r>
      <w:r w:rsidRPr="00B514AD">
        <w:rPr>
          <w:rFonts w:ascii="Arial" w:hAnsi="Arial" w:cs="Arial"/>
          <w:color w:val="231F20"/>
        </w:rPr>
        <w:t xml:space="preserve"> política </w:t>
      </w:r>
      <w:r w:rsidR="00B35D57" w:rsidRPr="00B514AD">
        <w:rPr>
          <w:rFonts w:ascii="Arial" w:hAnsi="Arial" w:cs="Arial"/>
          <w:color w:val="231F20"/>
        </w:rPr>
        <w:t>de Estado, teniendo en cuenta su</w:t>
      </w:r>
      <w:r w:rsidRPr="00B514AD">
        <w:rPr>
          <w:rFonts w:ascii="Arial" w:hAnsi="Arial" w:cs="Arial"/>
          <w:color w:val="231F20"/>
        </w:rPr>
        <w:t xml:space="preserve"> refrendación y a partir del Acto </w:t>
      </w:r>
      <w:r w:rsidR="00B35D57" w:rsidRPr="00B514AD">
        <w:rPr>
          <w:rFonts w:ascii="Arial" w:hAnsi="Arial" w:cs="Arial"/>
          <w:color w:val="231F20"/>
        </w:rPr>
        <w:t>Legislativo 02</w:t>
      </w:r>
      <w:r w:rsidRPr="00B514AD">
        <w:rPr>
          <w:rFonts w:ascii="Arial" w:hAnsi="Arial" w:cs="Arial"/>
          <w:color w:val="231F20"/>
        </w:rPr>
        <w:t xml:space="preserve"> de 2017, se dispuso que rigiera durante los tres periodos presidenciales siguientes (Corte Constitucional Sentencia C-630 de</w:t>
      </w:r>
      <w:r w:rsidRPr="00B514AD">
        <w:rPr>
          <w:rFonts w:ascii="Arial" w:hAnsi="Arial" w:cs="Arial"/>
          <w:color w:val="231F20"/>
          <w:spacing w:val="16"/>
        </w:rPr>
        <w:t xml:space="preserve"> </w:t>
      </w:r>
      <w:r w:rsidRPr="00B514AD">
        <w:rPr>
          <w:rFonts w:ascii="Arial" w:hAnsi="Arial" w:cs="Arial"/>
          <w:color w:val="231F20"/>
        </w:rPr>
        <w:t>2017).</w:t>
      </w:r>
    </w:p>
    <w:p w:rsidR="00EC5F4C" w:rsidRPr="00B514AD" w:rsidRDefault="00EC5F4C" w:rsidP="00017F19">
      <w:pPr>
        <w:pStyle w:val="Textoindependiente"/>
        <w:spacing w:before="97" w:line="223" w:lineRule="auto"/>
        <w:ind w:right="40" w:firstLine="283"/>
        <w:jc w:val="both"/>
        <w:rPr>
          <w:rFonts w:ascii="Arial" w:hAnsi="Arial" w:cs="Arial"/>
        </w:rPr>
      </w:pPr>
      <w:r w:rsidRPr="00B514AD">
        <w:rPr>
          <w:rFonts w:ascii="Arial" w:hAnsi="Arial" w:cs="Arial"/>
          <w:color w:val="231F20"/>
        </w:rPr>
        <w:t>Ahora bien, el acuerdo de paz contempla una serie de obligaciones referentes a la Ley 1448 de 2011, en efecto en el punto 5. Acuerdo sobre las Víctimas del Conflicto:</w:t>
      </w:r>
    </w:p>
    <w:p w:rsidR="00EC5F4C" w:rsidRPr="00B514AD" w:rsidRDefault="00EC5F4C" w:rsidP="00017F19">
      <w:pPr>
        <w:pStyle w:val="Textoindependiente"/>
        <w:spacing w:before="87" w:line="223" w:lineRule="auto"/>
        <w:ind w:right="38" w:firstLine="283"/>
        <w:jc w:val="both"/>
        <w:rPr>
          <w:rFonts w:ascii="Arial" w:hAnsi="Arial" w:cs="Arial"/>
        </w:rPr>
      </w:pPr>
      <w:r w:rsidRPr="00B514AD">
        <w:rPr>
          <w:rFonts w:ascii="Arial" w:hAnsi="Arial" w:cs="Arial"/>
          <w:color w:val="231F20"/>
        </w:rPr>
        <w:t xml:space="preserve">“Sistema Integral de </w:t>
      </w:r>
      <w:r w:rsidRPr="00B514AD">
        <w:rPr>
          <w:rFonts w:ascii="Arial" w:hAnsi="Arial" w:cs="Arial"/>
          <w:color w:val="231F20"/>
          <w:spacing w:val="-3"/>
        </w:rPr>
        <w:t xml:space="preserve">Verdad, </w:t>
      </w:r>
      <w:r w:rsidRPr="00B514AD">
        <w:rPr>
          <w:rFonts w:ascii="Arial" w:hAnsi="Arial" w:cs="Arial"/>
          <w:color w:val="231F20"/>
        </w:rPr>
        <w:t xml:space="preserve">Justicia, Reparación </w:t>
      </w:r>
      <w:r w:rsidR="00B35D57" w:rsidRPr="00B514AD">
        <w:rPr>
          <w:rFonts w:ascii="Arial" w:hAnsi="Arial" w:cs="Arial"/>
          <w:color w:val="231F20"/>
        </w:rPr>
        <w:t>y No Repetición”, se contempla un</w:t>
      </w:r>
      <w:r w:rsidRPr="00B514AD">
        <w:rPr>
          <w:rFonts w:ascii="Arial" w:hAnsi="Arial" w:cs="Arial"/>
          <w:color w:val="231F20"/>
        </w:rPr>
        <w:t xml:space="preserve"> numeral específico denominado 5.1.3. Reparación: Medidas de </w:t>
      </w:r>
      <w:r w:rsidR="00B35D57" w:rsidRPr="00B514AD">
        <w:rPr>
          <w:rFonts w:ascii="Arial" w:hAnsi="Arial" w:cs="Arial"/>
          <w:color w:val="231F20"/>
        </w:rPr>
        <w:t>reparación integral para</w:t>
      </w:r>
      <w:r w:rsidRPr="00B514AD">
        <w:rPr>
          <w:rFonts w:ascii="Arial" w:hAnsi="Arial" w:cs="Arial"/>
          <w:color w:val="231F20"/>
        </w:rPr>
        <w:t xml:space="preserve"> la construcción de paz y dentro de él</w:t>
      </w:r>
      <w:r w:rsidRPr="00B514AD">
        <w:rPr>
          <w:rFonts w:ascii="Arial" w:hAnsi="Arial" w:cs="Arial"/>
          <w:color w:val="231F20"/>
          <w:spacing w:val="35"/>
        </w:rPr>
        <w:t xml:space="preserve"> </w:t>
      </w:r>
      <w:r w:rsidRPr="00B514AD">
        <w:rPr>
          <w:rFonts w:ascii="Arial" w:hAnsi="Arial" w:cs="Arial"/>
          <w:color w:val="231F20"/>
        </w:rPr>
        <w:t xml:space="preserve">se encuentra </w:t>
      </w:r>
      <w:r w:rsidR="00B35D57" w:rsidRPr="00B514AD">
        <w:rPr>
          <w:rFonts w:ascii="Arial" w:hAnsi="Arial" w:cs="Arial"/>
          <w:color w:val="231F20"/>
        </w:rPr>
        <w:t>el componente 5.1.3.7.</w:t>
      </w:r>
      <w:r w:rsidRPr="00B514AD">
        <w:rPr>
          <w:rFonts w:ascii="Arial" w:hAnsi="Arial" w:cs="Arial"/>
          <w:color w:val="231F20"/>
        </w:rPr>
        <w:t xml:space="preserve">  </w:t>
      </w:r>
      <w:r w:rsidR="00B35D57" w:rsidRPr="00B514AD">
        <w:rPr>
          <w:rFonts w:ascii="Arial" w:hAnsi="Arial" w:cs="Arial"/>
          <w:color w:val="231F20"/>
        </w:rPr>
        <w:t>Adecuación y</w:t>
      </w:r>
      <w:r w:rsidRPr="00B514AD">
        <w:rPr>
          <w:rFonts w:ascii="Arial" w:hAnsi="Arial" w:cs="Arial"/>
          <w:color w:val="231F20"/>
        </w:rPr>
        <w:t xml:space="preserve"> </w:t>
      </w:r>
      <w:r w:rsidR="00B35D57" w:rsidRPr="00B514AD">
        <w:rPr>
          <w:rFonts w:ascii="Arial" w:hAnsi="Arial" w:cs="Arial"/>
          <w:color w:val="231F20"/>
        </w:rPr>
        <w:t>fortalecimiento participativo de la política de</w:t>
      </w:r>
      <w:r w:rsidRPr="00B514AD">
        <w:rPr>
          <w:rFonts w:ascii="Arial" w:hAnsi="Arial" w:cs="Arial"/>
          <w:color w:val="231F20"/>
        </w:rPr>
        <w:t xml:space="preserve"> atención y reparación integral a víctimas en   el </w:t>
      </w:r>
      <w:r w:rsidR="00B35D57" w:rsidRPr="00B514AD">
        <w:rPr>
          <w:rFonts w:ascii="Arial" w:hAnsi="Arial" w:cs="Arial"/>
          <w:color w:val="231F20"/>
        </w:rPr>
        <w:t>marco del fin del conflicto y contribución a</w:t>
      </w:r>
      <w:r w:rsidRPr="00B514AD">
        <w:rPr>
          <w:rFonts w:ascii="Arial" w:hAnsi="Arial" w:cs="Arial"/>
          <w:color w:val="231F20"/>
        </w:rPr>
        <w:t xml:space="preserve"> la reparación material de las víctimas. Adicionalmente, se contempló que dentro del calendario de implementación normativa durante los primeros 12 meses tras la firma del Acuerdo Final (utilizando el denominado </w:t>
      </w:r>
      <w:r w:rsidRPr="00B514AD">
        <w:rPr>
          <w:rFonts w:ascii="Arial" w:hAnsi="Arial" w:cs="Arial"/>
          <w:i/>
          <w:color w:val="231F20"/>
        </w:rPr>
        <w:t xml:space="preserve">“fast track” </w:t>
      </w:r>
      <w:r w:rsidRPr="00B514AD">
        <w:rPr>
          <w:rFonts w:ascii="Arial" w:hAnsi="Arial" w:cs="Arial"/>
          <w:color w:val="231F20"/>
        </w:rPr>
        <w:t>regulado en el Acto Legislativo 1 de 2016) se debían tramitar las modificaciones de la Ley</w:t>
      </w:r>
      <w:r w:rsidRPr="00B514AD">
        <w:rPr>
          <w:rFonts w:ascii="Arial" w:hAnsi="Arial" w:cs="Arial"/>
          <w:color w:val="231F20"/>
          <w:spacing w:val="-42"/>
        </w:rPr>
        <w:t xml:space="preserve"> </w:t>
      </w:r>
      <w:r w:rsidRPr="00B514AD">
        <w:rPr>
          <w:rFonts w:ascii="Arial" w:hAnsi="Arial" w:cs="Arial"/>
          <w:color w:val="231F20"/>
        </w:rPr>
        <w:t>1448 de</w:t>
      </w:r>
      <w:r w:rsidRPr="00B514AD">
        <w:rPr>
          <w:rFonts w:ascii="Arial" w:hAnsi="Arial" w:cs="Arial"/>
          <w:color w:val="231F20"/>
          <w:spacing w:val="-13"/>
        </w:rPr>
        <w:t xml:space="preserve"> </w:t>
      </w:r>
      <w:r w:rsidRPr="00B514AD">
        <w:rPr>
          <w:rFonts w:ascii="Arial" w:hAnsi="Arial" w:cs="Arial"/>
          <w:color w:val="231F20"/>
        </w:rPr>
        <w:t>2011,</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6"/>
        </w:rPr>
        <w:t xml:space="preserve"> </w:t>
      </w:r>
      <w:r w:rsidRPr="00B514AD">
        <w:rPr>
          <w:rFonts w:ascii="Arial" w:hAnsi="Arial" w:cs="Arial"/>
          <w:color w:val="231F20"/>
        </w:rPr>
        <w:t>Víctimas</w:t>
      </w:r>
      <w:r w:rsidRPr="00B514AD">
        <w:rPr>
          <w:rFonts w:ascii="Arial" w:hAnsi="Arial" w:cs="Arial"/>
          <w:color w:val="231F20"/>
          <w:spacing w:val="-12"/>
        </w:rPr>
        <w:t xml:space="preserve"> </w:t>
      </w:r>
      <w:r w:rsidRPr="00B514AD">
        <w:rPr>
          <w:rFonts w:ascii="Arial" w:hAnsi="Arial" w:cs="Arial"/>
          <w:color w:val="231F20"/>
        </w:rPr>
        <w:t>y</w:t>
      </w:r>
      <w:r w:rsidRPr="00B514AD">
        <w:rPr>
          <w:rFonts w:ascii="Arial" w:hAnsi="Arial" w:cs="Arial"/>
          <w:color w:val="231F20"/>
          <w:spacing w:val="-12"/>
        </w:rPr>
        <w:t xml:space="preserve"> </w:t>
      </w:r>
      <w:r w:rsidRPr="00B514AD">
        <w:rPr>
          <w:rFonts w:ascii="Arial" w:hAnsi="Arial" w:cs="Arial"/>
          <w:color w:val="231F20"/>
        </w:rPr>
        <w:t>Restitución</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6"/>
        </w:rPr>
        <w:t xml:space="preserve"> </w:t>
      </w:r>
      <w:r w:rsidRPr="00B514AD">
        <w:rPr>
          <w:rFonts w:ascii="Arial" w:hAnsi="Arial" w:cs="Arial"/>
          <w:color w:val="231F20"/>
        </w:rPr>
        <w:t>Tierras,</w:t>
      </w:r>
      <w:r w:rsidRPr="00B514AD">
        <w:rPr>
          <w:rFonts w:ascii="Arial" w:hAnsi="Arial" w:cs="Arial"/>
          <w:color w:val="231F20"/>
          <w:spacing w:val="-12"/>
        </w:rPr>
        <w:t xml:space="preserve"> </w:t>
      </w:r>
      <w:r w:rsidRPr="00B514AD">
        <w:rPr>
          <w:rFonts w:ascii="Arial" w:hAnsi="Arial" w:cs="Arial"/>
          <w:color w:val="231F20"/>
        </w:rPr>
        <w:t>con base</w:t>
      </w:r>
      <w:r w:rsidRPr="00B514AD">
        <w:rPr>
          <w:rFonts w:ascii="Arial" w:hAnsi="Arial" w:cs="Arial"/>
          <w:color w:val="231F20"/>
          <w:spacing w:val="-18"/>
        </w:rPr>
        <w:t xml:space="preserve"> </w:t>
      </w:r>
      <w:r w:rsidRPr="00B514AD">
        <w:rPr>
          <w:rFonts w:ascii="Arial" w:hAnsi="Arial" w:cs="Arial"/>
          <w:color w:val="231F20"/>
        </w:rPr>
        <w:t>en</w:t>
      </w:r>
      <w:r w:rsidRPr="00B514AD">
        <w:rPr>
          <w:rFonts w:ascii="Arial" w:hAnsi="Arial" w:cs="Arial"/>
          <w:color w:val="231F20"/>
          <w:spacing w:val="-17"/>
        </w:rPr>
        <w:t xml:space="preserve"> </w:t>
      </w:r>
      <w:r w:rsidRPr="00B514AD">
        <w:rPr>
          <w:rFonts w:ascii="Arial" w:hAnsi="Arial" w:cs="Arial"/>
          <w:color w:val="231F20"/>
        </w:rPr>
        <w:t>lo</w:t>
      </w:r>
      <w:r w:rsidRPr="00B514AD">
        <w:rPr>
          <w:rFonts w:ascii="Arial" w:hAnsi="Arial" w:cs="Arial"/>
          <w:color w:val="231F20"/>
          <w:spacing w:val="-18"/>
        </w:rPr>
        <w:t xml:space="preserve"> </w:t>
      </w:r>
      <w:r w:rsidRPr="00B514AD">
        <w:rPr>
          <w:rFonts w:ascii="Arial" w:hAnsi="Arial" w:cs="Arial"/>
          <w:color w:val="231F20"/>
        </w:rPr>
        <w:t>acordado</w:t>
      </w:r>
      <w:r w:rsidRPr="00B514AD">
        <w:rPr>
          <w:rFonts w:ascii="Arial" w:hAnsi="Arial" w:cs="Arial"/>
          <w:color w:val="231F20"/>
          <w:spacing w:val="-17"/>
        </w:rPr>
        <w:t xml:space="preserve"> </w:t>
      </w:r>
      <w:r w:rsidRPr="00B514AD">
        <w:rPr>
          <w:rFonts w:ascii="Arial" w:hAnsi="Arial" w:cs="Arial"/>
          <w:color w:val="231F20"/>
        </w:rPr>
        <w:t>en</w:t>
      </w:r>
      <w:r w:rsidRPr="00B514AD">
        <w:rPr>
          <w:rFonts w:ascii="Arial" w:hAnsi="Arial" w:cs="Arial"/>
          <w:color w:val="231F20"/>
          <w:spacing w:val="-18"/>
        </w:rPr>
        <w:t xml:space="preserve"> </w:t>
      </w:r>
      <w:r w:rsidRPr="00B514AD">
        <w:rPr>
          <w:rFonts w:ascii="Arial" w:hAnsi="Arial" w:cs="Arial"/>
          <w:color w:val="231F20"/>
        </w:rPr>
        <w:t>el</w:t>
      </w:r>
      <w:r w:rsidRPr="00B514AD">
        <w:rPr>
          <w:rFonts w:ascii="Arial" w:hAnsi="Arial" w:cs="Arial"/>
          <w:color w:val="231F20"/>
          <w:spacing w:val="-17"/>
        </w:rPr>
        <w:t xml:space="preserve"> </w:t>
      </w:r>
      <w:r w:rsidRPr="00B514AD">
        <w:rPr>
          <w:rFonts w:ascii="Arial" w:hAnsi="Arial" w:cs="Arial"/>
          <w:color w:val="231F20"/>
        </w:rPr>
        <w:t>punto</w:t>
      </w:r>
      <w:r w:rsidRPr="00B514AD">
        <w:rPr>
          <w:rFonts w:ascii="Arial" w:hAnsi="Arial" w:cs="Arial"/>
          <w:color w:val="231F20"/>
          <w:spacing w:val="-18"/>
        </w:rPr>
        <w:t xml:space="preserve"> </w:t>
      </w:r>
      <w:r w:rsidRPr="00B514AD">
        <w:rPr>
          <w:rFonts w:ascii="Arial" w:hAnsi="Arial" w:cs="Arial"/>
          <w:color w:val="231F20"/>
        </w:rPr>
        <w:t>5.1.3.7</w:t>
      </w:r>
      <w:r w:rsidRPr="00B514AD">
        <w:rPr>
          <w:rFonts w:ascii="Arial" w:hAnsi="Arial" w:cs="Arial"/>
          <w:color w:val="231F20"/>
          <w:spacing w:val="-17"/>
        </w:rPr>
        <w:t xml:space="preserve"> </w:t>
      </w:r>
      <w:r w:rsidRPr="00B514AD">
        <w:rPr>
          <w:rFonts w:ascii="Arial" w:hAnsi="Arial" w:cs="Arial"/>
          <w:color w:val="231F20"/>
        </w:rPr>
        <w:t>del</w:t>
      </w:r>
      <w:r w:rsidRPr="00B514AD">
        <w:rPr>
          <w:rFonts w:ascii="Arial" w:hAnsi="Arial" w:cs="Arial"/>
          <w:color w:val="231F20"/>
          <w:spacing w:val="-18"/>
        </w:rPr>
        <w:t xml:space="preserve"> </w:t>
      </w:r>
      <w:r w:rsidRPr="00B514AD">
        <w:rPr>
          <w:rFonts w:ascii="Arial" w:hAnsi="Arial" w:cs="Arial"/>
          <w:color w:val="231F20"/>
        </w:rPr>
        <w:t>acuerdo de “Víctimas”, teniendo en cuenta el</w:t>
      </w:r>
      <w:r w:rsidRPr="00B514AD">
        <w:rPr>
          <w:rFonts w:ascii="Arial" w:hAnsi="Arial" w:cs="Arial"/>
          <w:color w:val="231F20"/>
          <w:spacing w:val="15"/>
        </w:rPr>
        <w:t xml:space="preserve"> </w:t>
      </w:r>
      <w:r w:rsidRPr="00B514AD">
        <w:rPr>
          <w:rFonts w:ascii="Arial" w:hAnsi="Arial" w:cs="Arial"/>
          <w:color w:val="231F20"/>
        </w:rPr>
        <w:t>principio</w:t>
      </w:r>
      <w:r w:rsidR="00017F19" w:rsidRPr="00B514AD">
        <w:rPr>
          <w:rFonts w:ascii="Arial" w:hAnsi="Arial" w:cs="Arial"/>
          <w:color w:val="231F20"/>
        </w:rPr>
        <w:t xml:space="preserve"> </w:t>
      </w:r>
      <w:r w:rsidRPr="00B514AD">
        <w:rPr>
          <w:rFonts w:ascii="Arial" w:hAnsi="Arial" w:cs="Arial"/>
          <w:color w:val="231F20"/>
        </w:rPr>
        <w:t>de universalidad y conforme a los estándares internacionales, para ampliar el reconocimiento de todas las personas  víctimas  de  infracciones al Derecho Internacional Humanitario o de violaciones graves y manifiestas a las normas internacionales de derechos humanos ocurridas con ocasión del conflicto armado interno. Deber que no se cumplió en su</w:t>
      </w:r>
      <w:r w:rsidRPr="00B514AD">
        <w:rPr>
          <w:rFonts w:ascii="Arial" w:hAnsi="Arial" w:cs="Arial"/>
          <w:color w:val="231F20"/>
          <w:spacing w:val="16"/>
        </w:rPr>
        <w:t xml:space="preserve"> </w:t>
      </w:r>
      <w:r w:rsidRPr="00B514AD">
        <w:rPr>
          <w:rFonts w:ascii="Arial" w:hAnsi="Arial" w:cs="Arial"/>
          <w:color w:val="231F20"/>
        </w:rPr>
        <w:t>momento.</w:t>
      </w:r>
    </w:p>
    <w:p w:rsidR="00EC5F4C" w:rsidRPr="00B514AD" w:rsidRDefault="00EC5F4C" w:rsidP="00017F19">
      <w:pPr>
        <w:pStyle w:val="Textoindependiente"/>
        <w:spacing w:before="78" w:line="225" w:lineRule="auto"/>
        <w:ind w:right="158" w:firstLine="283"/>
        <w:jc w:val="both"/>
        <w:rPr>
          <w:rFonts w:ascii="Arial" w:hAnsi="Arial" w:cs="Arial"/>
        </w:rPr>
      </w:pPr>
      <w:r w:rsidRPr="00B514AD">
        <w:rPr>
          <w:rFonts w:ascii="Arial" w:hAnsi="Arial" w:cs="Arial"/>
          <w:color w:val="231F20"/>
        </w:rPr>
        <w:t>De esta forma, si bien los Actos Legislativos 01 de 2016 y 02 de 2017 no mencionan de manera</w:t>
      </w:r>
      <w:r w:rsidRPr="00B514AD">
        <w:rPr>
          <w:rFonts w:ascii="Arial" w:hAnsi="Arial" w:cs="Arial"/>
          <w:color w:val="231F20"/>
          <w:spacing w:val="-10"/>
        </w:rPr>
        <w:t xml:space="preserve"> </w:t>
      </w:r>
      <w:r w:rsidRPr="00B514AD">
        <w:rPr>
          <w:rFonts w:ascii="Arial" w:hAnsi="Arial" w:cs="Arial"/>
          <w:color w:val="231F20"/>
        </w:rPr>
        <w:t>expresa</w:t>
      </w:r>
      <w:r w:rsidRPr="00B514AD">
        <w:rPr>
          <w:rFonts w:ascii="Arial" w:hAnsi="Arial" w:cs="Arial"/>
          <w:color w:val="231F20"/>
          <w:spacing w:val="-9"/>
        </w:rPr>
        <w:t xml:space="preserve"> </w:t>
      </w:r>
      <w:r w:rsidRPr="00B514AD">
        <w:rPr>
          <w:rFonts w:ascii="Arial" w:hAnsi="Arial" w:cs="Arial"/>
          <w:color w:val="231F20"/>
        </w:rPr>
        <w:t>la</w:t>
      </w:r>
      <w:r w:rsidRPr="00B514AD">
        <w:rPr>
          <w:rFonts w:ascii="Arial" w:hAnsi="Arial" w:cs="Arial"/>
          <w:color w:val="231F20"/>
          <w:spacing w:val="-9"/>
        </w:rPr>
        <w:t xml:space="preserve"> </w:t>
      </w:r>
      <w:r w:rsidRPr="00B514AD">
        <w:rPr>
          <w:rFonts w:ascii="Arial" w:hAnsi="Arial" w:cs="Arial"/>
          <w:color w:val="231F20"/>
        </w:rPr>
        <w:t>Ley</w:t>
      </w:r>
      <w:r w:rsidRPr="00B514AD">
        <w:rPr>
          <w:rFonts w:ascii="Arial" w:hAnsi="Arial" w:cs="Arial"/>
          <w:color w:val="231F20"/>
          <w:spacing w:val="-9"/>
        </w:rPr>
        <w:t xml:space="preserve"> </w:t>
      </w:r>
      <w:r w:rsidRPr="00B514AD">
        <w:rPr>
          <w:rFonts w:ascii="Arial" w:hAnsi="Arial" w:cs="Arial"/>
          <w:color w:val="231F20"/>
        </w:rPr>
        <w:t>1448</w:t>
      </w:r>
      <w:r w:rsidRPr="00B514AD">
        <w:rPr>
          <w:rFonts w:ascii="Arial" w:hAnsi="Arial" w:cs="Arial"/>
          <w:color w:val="231F20"/>
          <w:spacing w:val="-9"/>
        </w:rPr>
        <w:t xml:space="preserve"> </w:t>
      </w:r>
      <w:r w:rsidRPr="00B514AD">
        <w:rPr>
          <w:rFonts w:ascii="Arial" w:hAnsi="Arial" w:cs="Arial"/>
          <w:color w:val="231F20"/>
        </w:rPr>
        <w:t>ni</w:t>
      </w:r>
      <w:r w:rsidRPr="00B514AD">
        <w:rPr>
          <w:rFonts w:ascii="Arial" w:hAnsi="Arial" w:cs="Arial"/>
          <w:color w:val="231F20"/>
          <w:spacing w:val="-9"/>
        </w:rPr>
        <w:t xml:space="preserve"> </w:t>
      </w:r>
      <w:r w:rsidRPr="00B514AD">
        <w:rPr>
          <w:rFonts w:ascii="Arial" w:hAnsi="Arial" w:cs="Arial"/>
          <w:color w:val="231F20"/>
        </w:rPr>
        <w:t>su</w:t>
      </w:r>
      <w:r w:rsidRPr="00B514AD">
        <w:rPr>
          <w:rFonts w:ascii="Arial" w:hAnsi="Arial" w:cs="Arial"/>
          <w:color w:val="231F20"/>
          <w:spacing w:val="-9"/>
        </w:rPr>
        <w:t xml:space="preserve"> </w:t>
      </w:r>
      <w:r w:rsidRPr="00B514AD">
        <w:rPr>
          <w:rFonts w:ascii="Arial" w:hAnsi="Arial" w:cs="Arial"/>
          <w:color w:val="231F20"/>
        </w:rPr>
        <w:t>modificación,</w:t>
      </w:r>
      <w:r w:rsidRPr="00B514AD">
        <w:rPr>
          <w:rFonts w:ascii="Arial" w:hAnsi="Arial" w:cs="Arial"/>
          <w:color w:val="231F20"/>
          <w:spacing w:val="-9"/>
        </w:rPr>
        <w:t xml:space="preserve"> </w:t>
      </w:r>
      <w:r w:rsidRPr="00B514AD">
        <w:rPr>
          <w:rFonts w:ascii="Arial" w:hAnsi="Arial" w:cs="Arial"/>
          <w:color w:val="231F20"/>
        </w:rPr>
        <w:t>sí establecen que el Gobierno nacional debe</w:t>
      </w:r>
      <w:r w:rsidRPr="00B514AD">
        <w:rPr>
          <w:rFonts w:ascii="Arial" w:hAnsi="Arial" w:cs="Arial"/>
          <w:color w:val="231F20"/>
          <w:spacing w:val="-38"/>
        </w:rPr>
        <w:t xml:space="preserve"> </w:t>
      </w:r>
      <w:r w:rsidRPr="00B514AD">
        <w:rPr>
          <w:rFonts w:ascii="Arial" w:hAnsi="Arial" w:cs="Arial"/>
          <w:color w:val="231F20"/>
        </w:rPr>
        <w:t>cumplir de buena fe lo establecido en el acuerdo de paz. Dado que en el acuerdo de paz se encuentran obligaciones muy concretas sobre los derechos de las víctimas, y el rol que juega la Ley 1448   de 2011, en  este  escenario  puede  decirse  que el Estado colombiano tiene un deber de buena   fe de revisar y ajustar la Ley 1448 de 2011  (como marco normativo principal en materia de derechos de las víctimas), pero este deber además implica al menos dos compromisos adicionales, que esta revisión implica la profundización de los derechos de las víctimas y dos, que debe hacerse desde la perspectiva de su adecuación a los fines del acuerdo de</w:t>
      </w:r>
      <w:r w:rsidRPr="00B514AD">
        <w:rPr>
          <w:rFonts w:ascii="Arial" w:hAnsi="Arial" w:cs="Arial"/>
          <w:color w:val="231F20"/>
          <w:spacing w:val="6"/>
        </w:rPr>
        <w:t xml:space="preserve"> </w:t>
      </w:r>
      <w:r w:rsidRPr="00B514AD">
        <w:rPr>
          <w:rFonts w:ascii="Arial" w:hAnsi="Arial" w:cs="Arial"/>
          <w:color w:val="231F20"/>
        </w:rPr>
        <w:t>paz.</w:t>
      </w:r>
    </w:p>
    <w:p w:rsidR="00EC5F4C" w:rsidRPr="00B514AD" w:rsidRDefault="00EC5F4C" w:rsidP="00017F19">
      <w:pPr>
        <w:pStyle w:val="Textoindependiente"/>
        <w:spacing w:before="66" w:line="225" w:lineRule="auto"/>
        <w:ind w:right="157" w:firstLine="283"/>
        <w:jc w:val="both"/>
        <w:rPr>
          <w:rFonts w:ascii="Arial" w:hAnsi="Arial" w:cs="Arial"/>
        </w:rPr>
      </w:pPr>
      <w:r w:rsidRPr="00B514AD">
        <w:rPr>
          <w:rFonts w:ascii="Arial" w:hAnsi="Arial" w:cs="Arial"/>
          <w:color w:val="231F20"/>
        </w:rPr>
        <w:t>Ahora bien, la jurisprudencia constitucional ha definido el principio de buena fe como aquel que exige</w:t>
      </w:r>
      <w:r w:rsidRPr="00B514AD">
        <w:rPr>
          <w:rFonts w:ascii="Arial" w:hAnsi="Arial" w:cs="Arial"/>
          <w:color w:val="231F20"/>
          <w:spacing w:val="-19"/>
        </w:rPr>
        <w:t xml:space="preserve"> </w:t>
      </w:r>
      <w:r w:rsidRPr="00B514AD">
        <w:rPr>
          <w:rFonts w:ascii="Arial" w:hAnsi="Arial" w:cs="Arial"/>
          <w:color w:val="231F20"/>
        </w:rPr>
        <w:t>a</w:t>
      </w:r>
      <w:r w:rsidRPr="00B514AD">
        <w:rPr>
          <w:rFonts w:ascii="Arial" w:hAnsi="Arial" w:cs="Arial"/>
          <w:color w:val="231F20"/>
          <w:spacing w:val="-19"/>
        </w:rPr>
        <w:t xml:space="preserve"> </w:t>
      </w:r>
      <w:r w:rsidRPr="00B514AD">
        <w:rPr>
          <w:rFonts w:ascii="Arial" w:hAnsi="Arial" w:cs="Arial"/>
          <w:color w:val="231F20"/>
        </w:rPr>
        <w:t>los</w:t>
      </w:r>
      <w:r w:rsidRPr="00B514AD">
        <w:rPr>
          <w:rFonts w:ascii="Arial" w:hAnsi="Arial" w:cs="Arial"/>
          <w:color w:val="231F20"/>
          <w:spacing w:val="-19"/>
        </w:rPr>
        <w:t xml:space="preserve"> </w:t>
      </w:r>
      <w:r w:rsidRPr="00B514AD">
        <w:rPr>
          <w:rFonts w:ascii="Arial" w:hAnsi="Arial" w:cs="Arial"/>
          <w:color w:val="231F20"/>
        </w:rPr>
        <w:t>particulares</w:t>
      </w:r>
      <w:r w:rsidRPr="00B514AD">
        <w:rPr>
          <w:rFonts w:ascii="Arial" w:hAnsi="Arial" w:cs="Arial"/>
          <w:color w:val="231F20"/>
          <w:spacing w:val="-18"/>
        </w:rPr>
        <w:t xml:space="preserve"> </w:t>
      </w:r>
      <w:r w:rsidRPr="00B514AD">
        <w:rPr>
          <w:rFonts w:ascii="Arial" w:hAnsi="Arial" w:cs="Arial"/>
          <w:color w:val="231F20"/>
        </w:rPr>
        <w:t>y</w:t>
      </w:r>
      <w:r w:rsidRPr="00B514AD">
        <w:rPr>
          <w:rFonts w:ascii="Arial" w:hAnsi="Arial" w:cs="Arial"/>
          <w:color w:val="231F20"/>
          <w:spacing w:val="-19"/>
        </w:rPr>
        <w:t xml:space="preserve"> </w:t>
      </w:r>
      <w:r w:rsidRPr="00B514AD">
        <w:rPr>
          <w:rFonts w:ascii="Arial" w:hAnsi="Arial" w:cs="Arial"/>
          <w:color w:val="231F20"/>
        </w:rPr>
        <w:t>a</w:t>
      </w:r>
      <w:r w:rsidRPr="00B514AD">
        <w:rPr>
          <w:rFonts w:ascii="Arial" w:hAnsi="Arial" w:cs="Arial"/>
          <w:color w:val="231F20"/>
          <w:spacing w:val="-19"/>
        </w:rPr>
        <w:t xml:space="preserve"> </w:t>
      </w:r>
      <w:r w:rsidRPr="00B514AD">
        <w:rPr>
          <w:rFonts w:ascii="Arial" w:hAnsi="Arial" w:cs="Arial"/>
          <w:color w:val="231F20"/>
        </w:rPr>
        <w:t>las</w:t>
      </w:r>
      <w:r w:rsidRPr="00B514AD">
        <w:rPr>
          <w:rFonts w:ascii="Arial" w:hAnsi="Arial" w:cs="Arial"/>
          <w:color w:val="231F20"/>
          <w:spacing w:val="-18"/>
        </w:rPr>
        <w:t xml:space="preserve"> </w:t>
      </w:r>
      <w:r w:rsidRPr="00B514AD">
        <w:rPr>
          <w:rFonts w:ascii="Arial" w:hAnsi="Arial" w:cs="Arial"/>
          <w:color w:val="231F20"/>
        </w:rPr>
        <w:t>autoridades</w:t>
      </w:r>
      <w:r w:rsidRPr="00B514AD">
        <w:rPr>
          <w:rFonts w:ascii="Arial" w:hAnsi="Arial" w:cs="Arial"/>
          <w:color w:val="231F20"/>
          <w:spacing w:val="-19"/>
        </w:rPr>
        <w:t xml:space="preserve"> </w:t>
      </w:r>
      <w:r w:rsidRPr="00B514AD">
        <w:rPr>
          <w:rFonts w:ascii="Arial" w:hAnsi="Arial" w:cs="Arial"/>
          <w:color w:val="231F20"/>
        </w:rPr>
        <w:t>públicas ajustar sus comportamientos a una conducta honesta, leal y conforme con las actuaciones que podrían esperarse de una “persona correcta (vir bonus)”. Así la buena fe presupone la existencia de relaciones recíprocas con trascendencia jurídica, y se refiere a la “confianza, seguridad y credibilidad que otorga la palabra dada” (Corte Constitucional, Sentencia 1194 de 2008). En esa perspectiva, es claro que el deber de buena fe, en todo</w:t>
      </w:r>
      <w:r w:rsidRPr="00B514AD">
        <w:rPr>
          <w:rFonts w:ascii="Arial" w:hAnsi="Arial" w:cs="Arial"/>
          <w:color w:val="231F20"/>
          <w:spacing w:val="-25"/>
        </w:rPr>
        <w:t xml:space="preserve"> </w:t>
      </w:r>
      <w:r w:rsidRPr="00B514AD">
        <w:rPr>
          <w:rFonts w:ascii="Arial" w:hAnsi="Arial" w:cs="Arial"/>
          <w:color w:val="231F20"/>
        </w:rPr>
        <w:t>caso,</w:t>
      </w:r>
      <w:r w:rsidRPr="00B514AD">
        <w:rPr>
          <w:rFonts w:ascii="Arial" w:hAnsi="Arial" w:cs="Arial"/>
          <w:color w:val="231F20"/>
          <w:spacing w:val="-25"/>
        </w:rPr>
        <w:t xml:space="preserve"> </w:t>
      </w:r>
      <w:r w:rsidRPr="00B514AD">
        <w:rPr>
          <w:rFonts w:ascii="Arial" w:hAnsi="Arial" w:cs="Arial"/>
          <w:color w:val="231F20"/>
        </w:rPr>
        <w:t>obliga</w:t>
      </w:r>
      <w:r w:rsidRPr="00B514AD">
        <w:rPr>
          <w:rFonts w:ascii="Arial" w:hAnsi="Arial" w:cs="Arial"/>
          <w:color w:val="231F20"/>
          <w:spacing w:val="-25"/>
        </w:rPr>
        <w:t xml:space="preserve"> </w:t>
      </w:r>
      <w:r w:rsidRPr="00B514AD">
        <w:rPr>
          <w:rFonts w:ascii="Arial" w:hAnsi="Arial" w:cs="Arial"/>
          <w:color w:val="231F20"/>
        </w:rPr>
        <w:t>al</w:t>
      </w:r>
      <w:r w:rsidRPr="00B514AD">
        <w:rPr>
          <w:rFonts w:ascii="Arial" w:hAnsi="Arial" w:cs="Arial"/>
          <w:color w:val="231F20"/>
          <w:spacing w:val="-25"/>
        </w:rPr>
        <w:t xml:space="preserve"> </w:t>
      </w:r>
      <w:r w:rsidRPr="00B514AD">
        <w:rPr>
          <w:rFonts w:ascii="Arial" w:hAnsi="Arial" w:cs="Arial"/>
          <w:color w:val="231F20"/>
        </w:rPr>
        <w:t>Estado</w:t>
      </w:r>
      <w:r w:rsidRPr="00B514AD">
        <w:rPr>
          <w:rFonts w:ascii="Arial" w:hAnsi="Arial" w:cs="Arial"/>
          <w:color w:val="231F20"/>
          <w:spacing w:val="-25"/>
        </w:rPr>
        <w:t xml:space="preserve"> </w:t>
      </w:r>
      <w:r w:rsidRPr="00B514AD">
        <w:rPr>
          <w:rFonts w:ascii="Arial" w:hAnsi="Arial" w:cs="Arial"/>
          <w:color w:val="231F20"/>
        </w:rPr>
        <w:t>a</w:t>
      </w:r>
      <w:r w:rsidRPr="00B514AD">
        <w:rPr>
          <w:rFonts w:ascii="Arial" w:hAnsi="Arial" w:cs="Arial"/>
          <w:color w:val="231F20"/>
          <w:spacing w:val="-25"/>
        </w:rPr>
        <w:t xml:space="preserve"> </w:t>
      </w:r>
      <w:r w:rsidRPr="00B514AD">
        <w:rPr>
          <w:rFonts w:ascii="Arial" w:hAnsi="Arial" w:cs="Arial"/>
          <w:color w:val="231F20"/>
        </w:rPr>
        <w:t>actuar</w:t>
      </w:r>
      <w:r w:rsidRPr="00B514AD">
        <w:rPr>
          <w:rFonts w:ascii="Arial" w:hAnsi="Arial" w:cs="Arial"/>
          <w:color w:val="231F20"/>
          <w:spacing w:val="-25"/>
        </w:rPr>
        <w:t xml:space="preserve"> </w:t>
      </w:r>
      <w:r w:rsidRPr="00B514AD">
        <w:rPr>
          <w:rFonts w:ascii="Arial" w:hAnsi="Arial" w:cs="Arial"/>
          <w:color w:val="231F20"/>
        </w:rPr>
        <w:t>de</w:t>
      </w:r>
      <w:r w:rsidRPr="00B514AD">
        <w:rPr>
          <w:rFonts w:ascii="Arial" w:hAnsi="Arial" w:cs="Arial"/>
          <w:color w:val="231F20"/>
          <w:spacing w:val="-25"/>
        </w:rPr>
        <w:t xml:space="preserve"> </w:t>
      </w:r>
      <w:r w:rsidRPr="00B514AD">
        <w:rPr>
          <w:rFonts w:ascii="Arial" w:hAnsi="Arial" w:cs="Arial"/>
          <w:color w:val="231F20"/>
        </w:rPr>
        <w:t>acuerdo</w:t>
      </w:r>
      <w:r w:rsidRPr="00B514AD">
        <w:rPr>
          <w:rFonts w:ascii="Arial" w:hAnsi="Arial" w:cs="Arial"/>
          <w:color w:val="231F20"/>
          <w:spacing w:val="-25"/>
        </w:rPr>
        <w:t xml:space="preserve"> </w:t>
      </w:r>
      <w:r w:rsidRPr="00B514AD">
        <w:rPr>
          <w:rFonts w:ascii="Arial" w:hAnsi="Arial" w:cs="Arial"/>
          <w:color w:val="231F20"/>
        </w:rPr>
        <w:t>a</w:t>
      </w:r>
      <w:r w:rsidRPr="00B514AD">
        <w:rPr>
          <w:rFonts w:ascii="Arial" w:hAnsi="Arial" w:cs="Arial"/>
          <w:color w:val="231F20"/>
          <w:spacing w:val="-24"/>
        </w:rPr>
        <w:t xml:space="preserve"> </w:t>
      </w:r>
      <w:r w:rsidRPr="00B514AD">
        <w:rPr>
          <w:rFonts w:ascii="Arial" w:hAnsi="Arial" w:cs="Arial"/>
          <w:color w:val="231F20"/>
        </w:rPr>
        <w:t xml:space="preserve">los compromisos que ha adquirido, incluso aquellos relacionados con el acuerdo de paz. En ese orden de ideas, así los Actos Legislativos 01 de 2016 y 02 de 2017 no mencionen </w:t>
      </w:r>
      <w:r w:rsidRPr="00B514AD">
        <w:rPr>
          <w:rFonts w:ascii="Arial" w:hAnsi="Arial" w:cs="Arial"/>
          <w:color w:val="231F20"/>
        </w:rPr>
        <w:lastRenderedPageBreak/>
        <w:t>o se refieran al ajuste de la Ley 1448 de 2011, esto no significa que no haya</w:t>
      </w:r>
      <w:r w:rsidRPr="00B514AD">
        <w:rPr>
          <w:rFonts w:ascii="Arial" w:hAnsi="Arial" w:cs="Arial"/>
          <w:color w:val="231F20"/>
          <w:spacing w:val="-7"/>
        </w:rPr>
        <w:t xml:space="preserve"> </w:t>
      </w:r>
      <w:r w:rsidRPr="00B514AD">
        <w:rPr>
          <w:rFonts w:ascii="Arial" w:hAnsi="Arial" w:cs="Arial"/>
          <w:color w:val="231F20"/>
        </w:rPr>
        <w:t>una</w:t>
      </w:r>
      <w:r w:rsidRPr="00B514AD">
        <w:rPr>
          <w:rFonts w:ascii="Arial" w:hAnsi="Arial" w:cs="Arial"/>
          <w:color w:val="231F20"/>
          <w:spacing w:val="-7"/>
        </w:rPr>
        <w:t xml:space="preserve"> </w:t>
      </w:r>
      <w:r w:rsidRPr="00B514AD">
        <w:rPr>
          <w:rFonts w:ascii="Arial" w:hAnsi="Arial" w:cs="Arial"/>
          <w:color w:val="231F20"/>
        </w:rPr>
        <w:t>relación</w:t>
      </w:r>
      <w:r w:rsidRPr="00B514AD">
        <w:rPr>
          <w:rFonts w:ascii="Arial" w:hAnsi="Arial" w:cs="Arial"/>
          <w:color w:val="231F20"/>
          <w:spacing w:val="-7"/>
        </w:rPr>
        <w:t xml:space="preserve"> </w:t>
      </w:r>
      <w:r w:rsidRPr="00B514AD">
        <w:rPr>
          <w:rFonts w:ascii="Arial" w:hAnsi="Arial" w:cs="Arial"/>
          <w:color w:val="231F20"/>
        </w:rPr>
        <w:t>entre</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7"/>
        </w:rPr>
        <w:t xml:space="preserve"> </w:t>
      </w:r>
      <w:r w:rsidRPr="00B514AD">
        <w:rPr>
          <w:rFonts w:ascii="Arial" w:hAnsi="Arial" w:cs="Arial"/>
          <w:color w:val="231F20"/>
        </w:rPr>
        <w:t>Ley</w:t>
      </w:r>
      <w:r w:rsidRPr="00B514AD">
        <w:rPr>
          <w:rFonts w:ascii="Arial" w:hAnsi="Arial" w:cs="Arial"/>
          <w:color w:val="231F20"/>
          <w:spacing w:val="-7"/>
        </w:rPr>
        <w:t xml:space="preserve"> </w:t>
      </w:r>
      <w:r w:rsidRPr="00B514AD">
        <w:rPr>
          <w:rFonts w:ascii="Arial" w:hAnsi="Arial" w:cs="Arial"/>
          <w:color w:val="231F20"/>
        </w:rPr>
        <w:t>1448</w:t>
      </w:r>
      <w:r w:rsidRPr="00B514AD">
        <w:rPr>
          <w:rFonts w:ascii="Arial" w:hAnsi="Arial" w:cs="Arial"/>
          <w:color w:val="231F20"/>
          <w:spacing w:val="-7"/>
        </w:rPr>
        <w:t xml:space="preserve"> </w:t>
      </w:r>
      <w:r w:rsidRPr="00B514AD">
        <w:rPr>
          <w:rFonts w:ascii="Arial" w:hAnsi="Arial" w:cs="Arial"/>
          <w:color w:val="231F20"/>
        </w:rPr>
        <w:t>y</w:t>
      </w:r>
      <w:r w:rsidRPr="00B514AD">
        <w:rPr>
          <w:rFonts w:ascii="Arial" w:hAnsi="Arial" w:cs="Arial"/>
          <w:color w:val="231F20"/>
          <w:spacing w:val="-7"/>
        </w:rPr>
        <w:t xml:space="preserve"> </w:t>
      </w:r>
      <w:r w:rsidRPr="00B514AD">
        <w:rPr>
          <w:rFonts w:ascii="Arial" w:hAnsi="Arial" w:cs="Arial"/>
          <w:color w:val="231F20"/>
        </w:rPr>
        <w:t>estos,</w:t>
      </w:r>
      <w:r w:rsidRPr="00B514AD">
        <w:rPr>
          <w:rFonts w:ascii="Arial" w:hAnsi="Arial" w:cs="Arial"/>
          <w:color w:val="231F20"/>
          <w:spacing w:val="-7"/>
        </w:rPr>
        <w:t xml:space="preserve"> </w:t>
      </w:r>
      <w:r w:rsidRPr="00B514AD">
        <w:rPr>
          <w:rFonts w:ascii="Arial" w:hAnsi="Arial" w:cs="Arial"/>
          <w:color w:val="231F20"/>
        </w:rPr>
        <w:t>por</w:t>
      </w:r>
      <w:r w:rsidRPr="00B514AD">
        <w:rPr>
          <w:rFonts w:ascii="Arial" w:hAnsi="Arial" w:cs="Arial"/>
          <w:color w:val="231F20"/>
          <w:spacing w:val="-7"/>
        </w:rPr>
        <w:t xml:space="preserve"> </w:t>
      </w:r>
      <w:r w:rsidRPr="00B514AD">
        <w:rPr>
          <w:rFonts w:ascii="Arial" w:hAnsi="Arial" w:cs="Arial"/>
          <w:color w:val="231F20"/>
        </w:rPr>
        <w:t>el contrario,</w:t>
      </w:r>
      <w:r w:rsidRPr="00B514AD">
        <w:rPr>
          <w:rFonts w:ascii="Arial" w:hAnsi="Arial" w:cs="Arial"/>
          <w:color w:val="231F20"/>
          <w:spacing w:val="-11"/>
        </w:rPr>
        <w:t xml:space="preserve"> </w:t>
      </w:r>
      <w:r w:rsidRPr="00B514AD">
        <w:rPr>
          <w:rFonts w:ascii="Arial" w:hAnsi="Arial" w:cs="Arial"/>
          <w:color w:val="231F20"/>
        </w:rPr>
        <w:t>es</w:t>
      </w:r>
      <w:r w:rsidRPr="00B514AD">
        <w:rPr>
          <w:rFonts w:ascii="Arial" w:hAnsi="Arial" w:cs="Arial"/>
          <w:color w:val="231F20"/>
          <w:spacing w:val="-11"/>
        </w:rPr>
        <w:t xml:space="preserve"> </w:t>
      </w:r>
      <w:r w:rsidRPr="00B514AD">
        <w:rPr>
          <w:rFonts w:ascii="Arial" w:hAnsi="Arial" w:cs="Arial"/>
          <w:color w:val="231F20"/>
        </w:rPr>
        <w:t>claro</w:t>
      </w:r>
      <w:r w:rsidRPr="00B514AD">
        <w:rPr>
          <w:rFonts w:ascii="Arial" w:hAnsi="Arial" w:cs="Arial"/>
          <w:color w:val="231F20"/>
          <w:spacing w:val="-11"/>
        </w:rPr>
        <w:t xml:space="preserve"> </w:t>
      </w:r>
      <w:r w:rsidRPr="00B514AD">
        <w:rPr>
          <w:rFonts w:ascii="Arial" w:hAnsi="Arial" w:cs="Arial"/>
          <w:color w:val="231F20"/>
        </w:rPr>
        <w:t>que</w:t>
      </w:r>
      <w:r w:rsidRPr="00B514AD">
        <w:rPr>
          <w:rFonts w:ascii="Arial" w:hAnsi="Arial" w:cs="Arial"/>
          <w:color w:val="231F20"/>
          <w:spacing w:val="-11"/>
        </w:rPr>
        <w:t xml:space="preserve"> </w:t>
      </w:r>
      <w:r w:rsidRPr="00B514AD">
        <w:rPr>
          <w:rFonts w:ascii="Arial" w:hAnsi="Arial" w:cs="Arial"/>
          <w:color w:val="231F20"/>
        </w:rPr>
        <w:t>la</w:t>
      </w:r>
      <w:r w:rsidRPr="00B514AD">
        <w:rPr>
          <w:rFonts w:ascii="Arial" w:hAnsi="Arial" w:cs="Arial"/>
          <w:color w:val="231F20"/>
          <w:spacing w:val="-11"/>
        </w:rPr>
        <w:t xml:space="preserve"> </w:t>
      </w:r>
      <w:r w:rsidRPr="00B514AD">
        <w:rPr>
          <w:rFonts w:ascii="Arial" w:hAnsi="Arial" w:cs="Arial"/>
          <w:color w:val="231F20"/>
        </w:rPr>
        <w:t>conexión</w:t>
      </w:r>
      <w:r w:rsidRPr="00B514AD">
        <w:rPr>
          <w:rFonts w:ascii="Arial" w:hAnsi="Arial" w:cs="Arial"/>
          <w:color w:val="231F20"/>
          <w:spacing w:val="-11"/>
        </w:rPr>
        <w:t xml:space="preserve"> </w:t>
      </w:r>
      <w:r w:rsidRPr="00B514AD">
        <w:rPr>
          <w:rFonts w:ascii="Arial" w:hAnsi="Arial" w:cs="Arial"/>
          <w:color w:val="231F20"/>
        </w:rPr>
        <w:t>se</w:t>
      </w:r>
      <w:r w:rsidRPr="00B514AD">
        <w:rPr>
          <w:rFonts w:ascii="Arial" w:hAnsi="Arial" w:cs="Arial"/>
          <w:color w:val="231F20"/>
          <w:spacing w:val="-10"/>
        </w:rPr>
        <w:t xml:space="preserve"> </w:t>
      </w:r>
      <w:r w:rsidRPr="00B514AD">
        <w:rPr>
          <w:rFonts w:ascii="Arial" w:hAnsi="Arial" w:cs="Arial"/>
          <w:color w:val="231F20"/>
        </w:rPr>
        <w:t>encuentra</w:t>
      </w:r>
      <w:r w:rsidRPr="00B514AD">
        <w:rPr>
          <w:rFonts w:ascii="Arial" w:hAnsi="Arial" w:cs="Arial"/>
          <w:color w:val="231F20"/>
          <w:spacing w:val="-11"/>
        </w:rPr>
        <w:t xml:space="preserve"> </w:t>
      </w:r>
      <w:r w:rsidRPr="00B514AD">
        <w:rPr>
          <w:rFonts w:ascii="Arial" w:hAnsi="Arial" w:cs="Arial"/>
          <w:color w:val="231F20"/>
        </w:rPr>
        <w:t>en el</w:t>
      </w:r>
      <w:r w:rsidRPr="00B514AD">
        <w:rPr>
          <w:rFonts w:ascii="Arial" w:hAnsi="Arial" w:cs="Arial"/>
          <w:color w:val="231F20"/>
          <w:spacing w:val="-7"/>
        </w:rPr>
        <w:t xml:space="preserve"> </w:t>
      </w:r>
      <w:r w:rsidRPr="00B514AD">
        <w:rPr>
          <w:rFonts w:ascii="Arial" w:hAnsi="Arial" w:cs="Arial"/>
          <w:color w:val="231F20"/>
        </w:rPr>
        <w:t>deber</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buena</w:t>
      </w:r>
      <w:r w:rsidRPr="00B514AD">
        <w:rPr>
          <w:rFonts w:ascii="Arial" w:hAnsi="Arial" w:cs="Arial"/>
          <w:color w:val="231F20"/>
          <w:spacing w:val="-6"/>
        </w:rPr>
        <w:t xml:space="preserve"> </w:t>
      </w:r>
      <w:r w:rsidRPr="00B514AD">
        <w:rPr>
          <w:rFonts w:ascii="Arial" w:hAnsi="Arial" w:cs="Arial"/>
          <w:color w:val="231F20"/>
        </w:rPr>
        <w:t>fe</w:t>
      </w:r>
      <w:r w:rsidRPr="00B514AD">
        <w:rPr>
          <w:rFonts w:ascii="Arial" w:hAnsi="Arial" w:cs="Arial"/>
          <w:color w:val="231F20"/>
          <w:spacing w:val="-6"/>
        </w:rPr>
        <w:t xml:space="preserve"> </w:t>
      </w:r>
      <w:r w:rsidRPr="00B514AD">
        <w:rPr>
          <w:rFonts w:ascii="Arial" w:hAnsi="Arial" w:cs="Arial"/>
          <w:color w:val="231F20"/>
        </w:rPr>
        <w:t>como</w:t>
      </w:r>
      <w:r w:rsidRPr="00B514AD">
        <w:rPr>
          <w:rFonts w:ascii="Arial" w:hAnsi="Arial" w:cs="Arial"/>
          <w:color w:val="231F20"/>
          <w:spacing w:val="-6"/>
        </w:rPr>
        <w:t xml:space="preserve"> </w:t>
      </w:r>
      <w:r w:rsidRPr="00B514AD">
        <w:rPr>
          <w:rFonts w:ascii="Arial" w:hAnsi="Arial" w:cs="Arial"/>
          <w:color w:val="231F20"/>
        </w:rPr>
        <w:t>fuente</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obligaciones; en ese orden de ideas, puede indicarse que</w:t>
      </w:r>
      <w:r w:rsidRPr="00B514AD">
        <w:rPr>
          <w:rFonts w:ascii="Arial" w:hAnsi="Arial" w:cs="Arial"/>
          <w:color w:val="231F20"/>
          <w:spacing w:val="40"/>
        </w:rPr>
        <w:t xml:space="preserve"> </w:t>
      </w:r>
      <w:r w:rsidRPr="00B514AD">
        <w:rPr>
          <w:rFonts w:ascii="Arial" w:hAnsi="Arial" w:cs="Arial"/>
          <w:color w:val="231F20"/>
        </w:rPr>
        <w:t>el Estado tiene la obligación de cumplir de buena fe con la realización de los ajustes necesarios para fortalecer y adecuar el marco normativo referente a los derechos de las víctimas, y por tanto, de tramitar las modificaciones de la Ley 1448 de 2011.</w:t>
      </w:r>
    </w:p>
    <w:p w:rsidR="00EC5F4C" w:rsidRDefault="00EC5F4C" w:rsidP="00017F19">
      <w:pPr>
        <w:pStyle w:val="Textoindependiente"/>
        <w:spacing w:before="61" w:line="223" w:lineRule="auto"/>
        <w:ind w:right="158" w:firstLine="283"/>
        <w:jc w:val="both"/>
        <w:rPr>
          <w:rFonts w:ascii="Arial" w:hAnsi="Arial" w:cs="Arial"/>
          <w:color w:val="231F20"/>
        </w:rPr>
      </w:pPr>
      <w:r w:rsidRPr="00B514AD">
        <w:rPr>
          <w:rFonts w:ascii="Arial" w:hAnsi="Arial" w:cs="Arial"/>
          <w:color w:val="231F20"/>
        </w:rPr>
        <w:t xml:space="preserve">En ese orden de ideas, podemos afirmar que existe un deber constitucional de fortalecer la política de víctimas y tramitar la adecuación </w:t>
      </w:r>
      <w:r w:rsidR="00B35D57" w:rsidRPr="00B514AD">
        <w:rPr>
          <w:rFonts w:ascii="Arial" w:hAnsi="Arial" w:cs="Arial"/>
          <w:color w:val="231F20"/>
        </w:rPr>
        <w:t>de la</w:t>
      </w:r>
      <w:r w:rsidRPr="00B514AD">
        <w:rPr>
          <w:rFonts w:ascii="Arial" w:hAnsi="Arial" w:cs="Arial"/>
          <w:color w:val="231F20"/>
        </w:rPr>
        <w:t xml:space="preserve"> Ley 1448 (que lleva implícito la </w:t>
      </w:r>
      <w:r w:rsidR="00B35D57" w:rsidRPr="00B514AD">
        <w:rPr>
          <w:rFonts w:ascii="Arial" w:hAnsi="Arial" w:cs="Arial"/>
          <w:color w:val="231F20"/>
        </w:rPr>
        <w:t>ampliación de</w:t>
      </w:r>
      <w:r w:rsidRPr="00B514AD">
        <w:rPr>
          <w:rFonts w:ascii="Arial" w:hAnsi="Arial" w:cs="Arial"/>
          <w:color w:val="231F20"/>
        </w:rPr>
        <w:t xml:space="preserve"> su vigencia), cuyo fundamento se encuentra en el deber de buena fe como fuente de obligaciones y que </w:t>
      </w:r>
      <w:r w:rsidR="00B35D57" w:rsidRPr="00B514AD">
        <w:rPr>
          <w:rFonts w:ascii="Arial" w:hAnsi="Arial" w:cs="Arial"/>
          <w:color w:val="231F20"/>
        </w:rPr>
        <w:t>en el caso concreto obliga</w:t>
      </w:r>
      <w:r w:rsidRPr="00B514AD">
        <w:rPr>
          <w:rFonts w:ascii="Arial" w:hAnsi="Arial" w:cs="Arial"/>
          <w:color w:val="231F20"/>
        </w:rPr>
        <w:t xml:space="preserve"> al Estado. En </w:t>
      </w:r>
      <w:r w:rsidR="00B35D57" w:rsidRPr="00B514AD">
        <w:rPr>
          <w:rFonts w:ascii="Arial" w:hAnsi="Arial" w:cs="Arial"/>
          <w:color w:val="231F20"/>
        </w:rPr>
        <w:t>todo caso, debe indicarse que los</w:t>
      </w:r>
      <w:r w:rsidRPr="00B514AD">
        <w:rPr>
          <w:rFonts w:ascii="Arial" w:hAnsi="Arial" w:cs="Arial"/>
          <w:color w:val="231F20"/>
          <w:spacing w:val="21"/>
        </w:rPr>
        <w:t xml:space="preserve"> </w:t>
      </w:r>
      <w:r w:rsidRPr="00B514AD">
        <w:rPr>
          <w:rFonts w:ascii="Arial" w:hAnsi="Arial" w:cs="Arial"/>
          <w:color w:val="231F20"/>
        </w:rPr>
        <w:t>derechos</w:t>
      </w:r>
      <w:r w:rsidRPr="00B514AD">
        <w:rPr>
          <w:rFonts w:ascii="Arial" w:hAnsi="Arial" w:cs="Arial"/>
          <w:color w:val="231F20"/>
          <w:spacing w:val="21"/>
        </w:rPr>
        <w:t xml:space="preserve"> </w:t>
      </w:r>
      <w:r w:rsidRPr="00B514AD">
        <w:rPr>
          <w:rFonts w:ascii="Arial" w:hAnsi="Arial" w:cs="Arial"/>
          <w:color w:val="231F20"/>
        </w:rPr>
        <w:t>de</w:t>
      </w:r>
      <w:r w:rsidRPr="00B514AD">
        <w:rPr>
          <w:rFonts w:ascii="Arial" w:hAnsi="Arial" w:cs="Arial"/>
          <w:color w:val="231F20"/>
          <w:spacing w:val="21"/>
        </w:rPr>
        <w:t xml:space="preserve"> </w:t>
      </w:r>
      <w:r w:rsidRPr="00B514AD">
        <w:rPr>
          <w:rFonts w:ascii="Arial" w:hAnsi="Arial" w:cs="Arial"/>
          <w:color w:val="231F20"/>
        </w:rPr>
        <w:t>las</w:t>
      </w:r>
      <w:r w:rsidRPr="00B514AD">
        <w:rPr>
          <w:rFonts w:ascii="Arial" w:hAnsi="Arial" w:cs="Arial"/>
          <w:color w:val="231F20"/>
          <w:spacing w:val="21"/>
        </w:rPr>
        <w:t xml:space="preserve"> </w:t>
      </w:r>
      <w:r w:rsidRPr="00B514AD">
        <w:rPr>
          <w:rFonts w:ascii="Arial" w:hAnsi="Arial" w:cs="Arial"/>
          <w:color w:val="231F20"/>
        </w:rPr>
        <w:t>víctimas</w:t>
      </w:r>
      <w:r w:rsidRPr="00B514AD">
        <w:rPr>
          <w:rFonts w:ascii="Arial" w:hAnsi="Arial" w:cs="Arial"/>
          <w:color w:val="231F20"/>
          <w:spacing w:val="22"/>
        </w:rPr>
        <w:t xml:space="preserve"> </w:t>
      </w:r>
      <w:r w:rsidRPr="00B514AD">
        <w:rPr>
          <w:rFonts w:ascii="Arial" w:hAnsi="Arial" w:cs="Arial"/>
          <w:color w:val="231F20"/>
        </w:rPr>
        <w:t>hacen</w:t>
      </w:r>
      <w:r w:rsidRPr="00B514AD">
        <w:rPr>
          <w:rFonts w:ascii="Arial" w:hAnsi="Arial" w:cs="Arial"/>
          <w:color w:val="231F20"/>
          <w:spacing w:val="21"/>
        </w:rPr>
        <w:t xml:space="preserve"> </w:t>
      </w:r>
      <w:r w:rsidRPr="00B514AD">
        <w:rPr>
          <w:rFonts w:ascii="Arial" w:hAnsi="Arial" w:cs="Arial"/>
          <w:color w:val="231F20"/>
        </w:rPr>
        <w:t>parte</w:t>
      </w:r>
      <w:r w:rsidRPr="00B514AD">
        <w:rPr>
          <w:rFonts w:ascii="Arial" w:hAnsi="Arial" w:cs="Arial"/>
          <w:color w:val="231F20"/>
          <w:spacing w:val="21"/>
        </w:rPr>
        <w:t xml:space="preserve"> </w:t>
      </w:r>
      <w:r w:rsidRPr="00B514AD">
        <w:rPr>
          <w:rFonts w:ascii="Arial" w:hAnsi="Arial" w:cs="Arial"/>
          <w:color w:val="231F20"/>
        </w:rPr>
        <w:t>del</w:t>
      </w:r>
      <w:r w:rsidR="00017F19" w:rsidRPr="00B514AD">
        <w:rPr>
          <w:rFonts w:ascii="Arial" w:hAnsi="Arial" w:cs="Arial"/>
          <w:color w:val="231F20"/>
        </w:rPr>
        <w:t xml:space="preserve"> </w:t>
      </w:r>
      <w:r w:rsidRPr="00B514AD">
        <w:rPr>
          <w:rFonts w:ascii="Arial" w:hAnsi="Arial" w:cs="Arial"/>
          <w:color w:val="231F20"/>
        </w:rPr>
        <w:t xml:space="preserve">bloque de constitucionalidad y de los derechos fundamentales consagrados en la Constitución Política de Colombia. En esa perspectiva, podría afirmarse que las víctimas tienen cierto </w:t>
      </w:r>
      <w:r w:rsidR="00B35D57" w:rsidRPr="00B514AD">
        <w:rPr>
          <w:rFonts w:ascii="Arial" w:hAnsi="Arial" w:cs="Arial"/>
          <w:color w:val="231F20"/>
        </w:rPr>
        <w:t>derecho a</w:t>
      </w:r>
      <w:r w:rsidRPr="00B514AD">
        <w:rPr>
          <w:rFonts w:ascii="Arial" w:hAnsi="Arial" w:cs="Arial"/>
          <w:color w:val="231F20"/>
        </w:rPr>
        <w:t xml:space="preserve"> que el Congreso revise la vigencia de la Ley 1448 de 2011, su cumplimiento y adecuaciones necesarias –desde la perspectiva de la no regresividad de los</w:t>
      </w:r>
      <w:r w:rsidRPr="00B514AD">
        <w:rPr>
          <w:rFonts w:ascii="Arial" w:hAnsi="Arial" w:cs="Arial"/>
          <w:color w:val="231F20"/>
          <w:spacing w:val="8"/>
        </w:rPr>
        <w:t xml:space="preserve"> </w:t>
      </w:r>
      <w:r w:rsidRPr="00B514AD">
        <w:rPr>
          <w:rFonts w:ascii="Arial" w:hAnsi="Arial" w:cs="Arial"/>
          <w:color w:val="231F20"/>
        </w:rPr>
        <w:t>derechos–.</w:t>
      </w:r>
    </w:p>
    <w:p w:rsidR="00B514AD" w:rsidRPr="00B514AD" w:rsidRDefault="00B514AD" w:rsidP="00017F19">
      <w:pPr>
        <w:pStyle w:val="Textoindependiente"/>
        <w:spacing w:before="61" w:line="223" w:lineRule="auto"/>
        <w:ind w:right="158" w:firstLine="283"/>
        <w:jc w:val="both"/>
        <w:rPr>
          <w:rFonts w:ascii="Arial" w:hAnsi="Arial" w:cs="Arial"/>
        </w:rPr>
      </w:pPr>
    </w:p>
    <w:p w:rsidR="00EC5F4C" w:rsidRDefault="00EC5F4C" w:rsidP="00017F19">
      <w:pPr>
        <w:tabs>
          <w:tab w:val="left" w:pos="833"/>
        </w:tabs>
        <w:spacing w:before="80" w:line="235" w:lineRule="auto"/>
        <w:ind w:left="833" w:right="180" w:hanging="400"/>
        <w:jc w:val="both"/>
        <w:rPr>
          <w:rFonts w:ascii="Arial" w:hAnsi="Arial" w:cs="Arial"/>
          <w:b/>
          <w:color w:val="231F20"/>
        </w:rPr>
      </w:pPr>
      <w:r w:rsidRPr="00B514AD">
        <w:rPr>
          <w:rFonts w:ascii="Arial" w:hAnsi="Arial" w:cs="Arial"/>
          <w:b/>
          <w:color w:val="231F20"/>
        </w:rPr>
        <w:t>4.</w:t>
      </w:r>
      <w:r w:rsidRPr="00B514AD">
        <w:rPr>
          <w:rFonts w:ascii="Arial" w:hAnsi="Arial" w:cs="Arial"/>
          <w:b/>
          <w:color w:val="231F20"/>
        </w:rPr>
        <w:tab/>
        <w:t>Ley de Víctimas y el Plan Nacional de Desarrollo</w:t>
      </w:r>
      <w:r w:rsidRPr="00B514AD">
        <w:rPr>
          <w:rFonts w:ascii="Arial" w:hAnsi="Arial" w:cs="Arial"/>
          <w:b/>
          <w:color w:val="231F20"/>
          <w:spacing w:val="2"/>
        </w:rPr>
        <w:t xml:space="preserve"> </w:t>
      </w:r>
      <w:r w:rsidRPr="00B514AD">
        <w:rPr>
          <w:rFonts w:ascii="Arial" w:hAnsi="Arial" w:cs="Arial"/>
          <w:b/>
          <w:color w:val="231F20"/>
        </w:rPr>
        <w:t>2018-2022</w:t>
      </w:r>
    </w:p>
    <w:p w:rsidR="00EC5F4C" w:rsidRPr="00B514AD" w:rsidRDefault="00EC5F4C" w:rsidP="00017F19">
      <w:pPr>
        <w:pStyle w:val="Textoindependiente"/>
        <w:spacing w:before="84" w:line="225" w:lineRule="auto"/>
        <w:ind w:right="84" w:firstLine="283"/>
        <w:jc w:val="both"/>
        <w:rPr>
          <w:rFonts w:ascii="Arial" w:hAnsi="Arial" w:cs="Arial"/>
        </w:rPr>
      </w:pPr>
      <w:r w:rsidRPr="00B514AD">
        <w:rPr>
          <w:rFonts w:ascii="Arial" w:hAnsi="Arial" w:cs="Arial"/>
          <w:color w:val="231F20"/>
        </w:rPr>
        <w:t>Con la Ley 1448 de 2011, se dio un gran salto para alcanzar la paz. El reconocimiento de las víctimas fue el primer escalón de un camino</w:t>
      </w:r>
      <w:r w:rsidRPr="00B514AD">
        <w:rPr>
          <w:rFonts w:ascii="Arial" w:hAnsi="Arial" w:cs="Arial"/>
          <w:color w:val="231F20"/>
          <w:spacing w:val="-38"/>
        </w:rPr>
        <w:t xml:space="preserve"> </w:t>
      </w:r>
      <w:r w:rsidRPr="00B514AD">
        <w:rPr>
          <w:rFonts w:ascii="Arial" w:hAnsi="Arial" w:cs="Arial"/>
          <w:color w:val="231F20"/>
        </w:rPr>
        <w:t xml:space="preserve">largo que nuestra sociedad debe atravesar. Según cifras de la </w:t>
      </w:r>
      <w:r w:rsidRPr="00B514AD">
        <w:rPr>
          <w:rFonts w:ascii="Arial" w:hAnsi="Arial" w:cs="Arial"/>
          <w:color w:val="231F20"/>
          <w:spacing w:val="-5"/>
        </w:rPr>
        <w:t xml:space="preserve">UARIV, </w:t>
      </w:r>
      <w:r w:rsidRPr="00B514AD">
        <w:rPr>
          <w:rFonts w:ascii="Arial" w:hAnsi="Arial" w:cs="Arial"/>
          <w:color w:val="231F20"/>
        </w:rPr>
        <w:t>el conflicto armado ha dejado</w:t>
      </w:r>
      <w:r w:rsidRPr="00B514AD">
        <w:rPr>
          <w:rFonts w:ascii="Arial" w:hAnsi="Arial" w:cs="Arial"/>
          <w:color w:val="231F20"/>
          <w:spacing w:val="-18"/>
        </w:rPr>
        <w:t xml:space="preserve"> </w:t>
      </w:r>
      <w:r w:rsidRPr="00B514AD">
        <w:rPr>
          <w:rFonts w:ascii="Arial" w:hAnsi="Arial" w:cs="Arial"/>
          <w:color w:val="231F20"/>
        </w:rPr>
        <w:t>cerca de 8.800.000 víctimas, es decir cerca del 18% de la población</w:t>
      </w:r>
      <w:r w:rsidRPr="00B514AD">
        <w:rPr>
          <w:rFonts w:ascii="Arial" w:hAnsi="Arial" w:cs="Arial"/>
          <w:color w:val="231F20"/>
          <w:spacing w:val="5"/>
        </w:rPr>
        <w:t xml:space="preserve"> </w:t>
      </w:r>
      <w:r w:rsidRPr="00B514AD">
        <w:rPr>
          <w:rFonts w:ascii="Arial" w:hAnsi="Arial" w:cs="Arial"/>
          <w:color w:val="231F20"/>
        </w:rPr>
        <w:t>colombiana.</w:t>
      </w:r>
    </w:p>
    <w:p w:rsidR="00EC5F4C" w:rsidRPr="00B514AD" w:rsidRDefault="00EC5F4C" w:rsidP="00017F19">
      <w:pPr>
        <w:pStyle w:val="Textoindependiente"/>
        <w:jc w:val="both"/>
        <w:rPr>
          <w:rFonts w:ascii="Arial" w:hAnsi="Arial" w:cs="Arial"/>
        </w:rPr>
      </w:pPr>
    </w:p>
    <w:p w:rsidR="00EC5F4C" w:rsidRPr="00B514AD" w:rsidRDefault="00EC5F4C" w:rsidP="00017F19">
      <w:pPr>
        <w:pStyle w:val="Textoindependiente"/>
        <w:ind w:right="-6"/>
        <w:jc w:val="center"/>
        <w:rPr>
          <w:rFonts w:ascii="Arial" w:hAnsi="Arial" w:cs="Arial"/>
        </w:rPr>
      </w:pPr>
      <w:r w:rsidRPr="00B514AD">
        <w:rPr>
          <w:rFonts w:ascii="Arial" w:hAnsi="Arial" w:cs="Arial"/>
          <w:noProof/>
          <w:lang w:val="es-CO" w:eastAsia="es-CO" w:bidi="ar-SA"/>
        </w:rPr>
        <w:drawing>
          <wp:inline distT="0" distB="0" distL="0" distR="0" wp14:anchorId="6391EC95" wp14:editId="702DF8E0">
            <wp:extent cx="3063248" cy="122586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063248" cy="1225867"/>
                    </a:xfrm>
                    <a:prstGeom prst="rect">
                      <a:avLst/>
                    </a:prstGeom>
                  </pic:spPr>
                </pic:pic>
              </a:graphicData>
            </a:graphic>
          </wp:inline>
        </w:drawing>
      </w:r>
    </w:p>
    <w:p w:rsidR="00EC5F4C" w:rsidRPr="00B514AD" w:rsidRDefault="00EC5F4C" w:rsidP="00017F19">
      <w:pPr>
        <w:pStyle w:val="Textoindependiente"/>
        <w:spacing w:before="74" w:line="225" w:lineRule="auto"/>
        <w:ind w:right="84" w:firstLine="283"/>
        <w:jc w:val="both"/>
        <w:rPr>
          <w:rFonts w:ascii="Arial" w:hAnsi="Arial" w:cs="Arial"/>
        </w:rPr>
      </w:pPr>
      <w:r w:rsidRPr="00B514AD">
        <w:rPr>
          <w:rFonts w:ascii="Arial" w:hAnsi="Arial" w:cs="Arial"/>
          <w:color w:val="231F20"/>
        </w:rPr>
        <w:t xml:space="preserve">Desde el 2002 se inició una reducción significativa del número de víctimas registradas anuales, lo cual se aumentó en los últimos años gracias a la desintensificación del conflicto, producto de la desmovilización </w:t>
      </w:r>
      <w:r w:rsidR="00B35D57" w:rsidRPr="00B514AD">
        <w:rPr>
          <w:rFonts w:ascii="Arial" w:hAnsi="Arial" w:cs="Arial"/>
          <w:color w:val="231F20"/>
        </w:rPr>
        <w:t>de la guerrilla</w:t>
      </w:r>
      <w:r w:rsidRPr="00B514AD">
        <w:rPr>
          <w:rFonts w:ascii="Arial" w:hAnsi="Arial" w:cs="Arial"/>
          <w:color w:val="231F20"/>
        </w:rPr>
        <w:t xml:space="preserve"> de las </w:t>
      </w:r>
      <w:r w:rsidRPr="00B514AD">
        <w:rPr>
          <w:rFonts w:ascii="Arial" w:hAnsi="Arial" w:cs="Arial"/>
          <w:color w:val="231F20"/>
          <w:spacing w:val="-3"/>
        </w:rPr>
        <w:t xml:space="preserve">FARC. </w:t>
      </w:r>
      <w:r w:rsidRPr="00B514AD">
        <w:rPr>
          <w:rFonts w:ascii="Arial" w:hAnsi="Arial" w:cs="Arial"/>
          <w:color w:val="231F20"/>
        </w:rPr>
        <w:t xml:space="preserve">Es importante mencionar que en el 2018 se vuelve a aumentar la cifra, </w:t>
      </w:r>
      <w:r w:rsidR="00B35D57" w:rsidRPr="00B514AD">
        <w:rPr>
          <w:rFonts w:ascii="Arial" w:hAnsi="Arial" w:cs="Arial"/>
          <w:color w:val="231F20"/>
        </w:rPr>
        <w:t>reversando un</w:t>
      </w:r>
      <w:r w:rsidRPr="00B514AD">
        <w:rPr>
          <w:rFonts w:ascii="Arial" w:hAnsi="Arial" w:cs="Arial"/>
          <w:color w:val="231F20"/>
        </w:rPr>
        <w:t xml:space="preserve"> proceso que se había mantenido en descenso desde el</w:t>
      </w:r>
      <w:r w:rsidRPr="00B514AD">
        <w:rPr>
          <w:rFonts w:ascii="Arial" w:hAnsi="Arial" w:cs="Arial"/>
          <w:color w:val="231F20"/>
          <w:spacing w:val="4"/>
        </w:rPr>
        <w:t xml:space="preserve"> </w:t>
      </w:r>
      <w:r w:rsidRPr="00B514AD">
        <w:rPr>
          <w:rFonts w:ascii="Arial" w:hAnsi="Arial" w:cs="Arial"/>
          <w:color w:val="231F20"/>
        </w:rPr>
        <w:t>2012.</w:t>
      </w:r>
    </w:p>
    <w:p w:rsidR="00EC5F4C" w:rsidRPr="00B514AD" w:rsidRDefault="00017F19" w:rsidP="00017F19">
      <w:pPr>
        <w:pStyle w:val="Textoindependiente"/>
        <w:spacing w:before="78" w:line="225" w:lineRule="auto"/>
        <w:ind w:right="84" w:firstLine="283"/>
        <w:jc w:val="both"/>
        <w:rPr>
          <w:rFonts w:ascii="Arial" w:hAnsi="Arial" w:cs="Arial"/>
        </w:rPr>
      </w:pPr>
      <w:r w:rsidRPr="00B514AD">
        <w:rPr>
          <w:rFonts w:ascii="Arial" w:hAnsi="Arial" w:cs="Arial"/>
          <w:noProof/>
          <w:lang w:val="es-CO" w:eastAsia="es-CO" w:bidi="ar-SA"/>
        </w:rPr>
        <w:drawing>
          <wp:anchor distT="0" distB="0" distL="0" distR="0" simplePos="0" relativeHeight="251659264" behindDoc="1" locked="0" layoutInCell="1" allowOverlap="1" wp14:anchorId="6ECD14D6" wp14:editId="4CA53F64">
            <wp:simplePos x="0" y="0"/>
            <wp:positionH relativeFrom="page">
              <wp:posOffset>2308483</wp:posOffset>
            </wp:positionH>
            <wp:positionV relativeFrom="paragraph">
              <wp:posOffset>499317</wp:posOffset>
            </wp:positionV>
            <wp:extent cx="3007706" cy="42672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3007706" cy="426720"/>
                    </a:xfrm>
                    <a:prstGeom prst="rect">
                      <a:avLst/>
                    </a:prstGeom>
                  </pic:spPr>
                </pic:pic>
              </a:graphicData>
            </a:graphic>
          </wp:anchor>
        </w:drawing>
      </w:r>
      <w:r w:rsidR="00EC5F4C" w:rsidRPr="00B514AD">
        <w:rPr>
          <w:rFonts w:ascii="Arial" w:hAnsi="Arial" w:cs="Arial"/>
          <w:color w:val="231F20"/>
        </w:rPr>
        <w:t>Anualmente desde el 2011 se han reparado cerca de 120.000 víctimas, lo que nos hace</w:t>
      </w:r>
      <w:r w:rsidR="00EC5F4C" w:rsidRPr="00B514AD">
        <w:rPr>
          <w:rFonts w:ascii="Arial" w:hAnsi="Arial" w:cs="Arial"/>
          <w:color w:val="231F20"/>
          <w:spacing w:val="-41"/>
        </w:rPr>
        <w:t xml:space="preserve"> </w:t>
      </w:r>
      <w:r w:rsidR="00EC5F4C" w:rsidRPr="00B514AD">
        <w:rPr>
          <w:rFonts w:ascii="Arial" w:hAnsi="Arial" w:cs="Arial"/>
          <w:color w:val="231F20"/>
        </w:rPr>
        <w:t>pensar que con el ritmo actual se requeriría 70 años para reparar a todas las</w:t>
      </w:r>
      <w:r w:rsidR="00EC5F4C" w:rsidRPr="00B514AD">
        <w:rPr>
          <w:rFonts w:ascii="Arial" w:hAnsi="Arial" w:cs="Arial"/>
          <w:color w:val="231F20"/>
          <w:spacing w:val="10"/>
        </w:rPr>
        <w:t xml:space="preserve"> </w:t>
      </w:r>
      <w:r w:rsidR="00EC5F4C" w:rsidRPr="00B514AD">
        <w:rPr>
          <w:rFonts w:ascii="Arial" w:hAnsi="Arial" w:cs="Arial"/>
          <w:color w:val="231F20"/>
        </w:rPr>
        <w:t>registradas.</w:t>
      </w:r>
    </w:p>
    <w:p w:rsidR="00EC5F4C" w:rsidRPr="00B514AD" w:rsidRDefault="00EC5F4C" w:rsidP="00017F19">
      <w:pPr>
        <w:pStyle w:val="Textoindependiente"/>
        <w:spacing w:before="3"/>
        <w:jc w:val="both"/>
        <w:rPr>
          <w:rFonts w:ascii="Arial" w:hAnsi="Arial" w:cs="Arial"/>
        </w:rPr>
      </w:pPr>
    </w:p>
    <w:p w:rsidR="00EC5F4C" w:rsidRPr="00B514AD" w:rsidRDefault="00EC5F4C" w:rsidP="00017F19">
      <w:pPr>
        <w:pStyle w:val="Textoindependiente"/>
        <w:spacing w:before="129" w:line="225" w:lineRule="auto"/>
        <w:ind w:right="85" w:firstLine="283"/>
        <w:jc w:val="both"/>
        <w:rPr>
          <w:rFonts w:ascii="Arial" w:hAnsi="Arial" w:cs="Arial"/>
        </w:rPr>
      </w:pPr>
      <w:r w:rsidRPr="00B514AD">
        <w:rPr>
          <w:rFonts w:ascii="Arial" w:hAnsi="Arial" w:cs="Arial"/>
          <w:color w:val="231F20"/>
        </w:rPr>
        <w:t>En el recientemente aprobado Plan Nacional de Desarrollo 2018-2022, en el Pacto XI. Por</w:t>
      </w:r>
      <w:r w:rsidR="00017F19" w:rsidRPr="00B514AD">
        <w:rPr>
          <w:rFonts w:ascii="Arial" w:hAnsi="Arial" w:cs="Arial"/>
          <w:color w:val="231F20"/>
        </w:rPr>
        <w:t xml:space="preserve"> </w:t>
      </w:r>
      <w:r w:rsidRPr="00B514AD">
        <w:rPr>
          <w:rFonts w:ascii="Arial" w:hAnsi="Arial" w:cs="Arial"/>
          <w:color w:val="231F20"/>
        </w:rPr>
        <w:t>la</w:t>
      </w:r>
      <w:r w:rsidRPr="00B514AD">
        <w:rPr>
          <w:rFonts w:ascii="Arial" w:hAnsi="Arial" w:cs="Arial"/>
          <w:color w:val="231F20"/>
          <w:spacing w:val="-14"/>
        </w:rPr>
        <w:t xml:space="preserve"> </w:t>
      </w:r>
      <w:r w:rsidRPr="00B514AD">
        <w:rPr>
          <w:rFonts w:ascii="Arial" w:hAnsi="Arial" w:cs="Arial"/>
          <w:color w:val="231F20"/>
        </w:rPr>
        <w:t>Construcción</w:t>
      </w:r>
      <w:r w:rsidRPr="00B514AD">
        <w:rPr>
          <w:rFonts w:ascii="Arial" w:hAnsi="Arial" w:cs="Arial"/>
          <w:color w:val="231F20"/>
          <w:spacing w:val="-13"/>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Paz:</w:t>
      </w:r>
      <w:r w:rsidRPr="00B514AD">
        <w:rPr>
          <w:rFonts w:ascii="Arial" w:hAnsi="Arial" w:cs="Arial"/>
          <w:color w:val="231F20"/>
          <w:spacing w:val="-13"/>
        </w:rPr>
        <w:t xml:space="preserve"> </w:t>
      </w:r>
      <w:r w:rsidRPr="00B514AD">
        <w:rPr>
          <w:rFonts w:ascii="Arial" w:hAnsi="Arial" w:cs="Arial"/>
          <w:color w:val="231F20"/>
        </w:rPr>
        <w:t>Cultura</w:t>
      </w:r>
      <w:r w:rsidRPr="00B514AD">
        <w:rPr>
          <w:rFonts w:ascii="Arial" w:hAnsi="Arial" w:cs="Arial"/>
          <w:color w:val="231F20"/>
          <w:spacing w:val="-13"/>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la</w:t>
      </w:r>
      <w:r w:rsidRPr="00B514AD">
        <w:rPr>
          <w:rFonts w:ascii="Arial" w:hAnsi="Arial" w:cs="Arial"/>
          <w:color w:val="231F20"/>
          <w:spacing w:val="-13"/>
        </w:rPr>
        <w:t xml:space="preserve"> </w:t>
      </w:r>
      <w:r w:rsidRPr="00B514AD">
        <w:rPr>
          <w:rFonts w:ascii="Arial" w:hAnsi="Arial" w:cs="Arial"/>
          <w:color w:val="231F20"/>
        </w:rPr>
        <w:t xml:space="preserve">legalidad, convivencia, estabilización y víctimas, en </w:t>
      </w:r>
      <w:r w:rsidR="00B35D57" w:rsidRPr="00B514AD">
        <w:rPr>
          <w:rFonts w:ascii="Arial" w:hAnsi="Arial" w:cs="Arial"/>
          <w:color w:val="231F20"/>
        </w:rPr>
        <w:t>la línea</w:t>
      </w:r>
      <w:r w:rsidRPr="00B514AD">
        <w:rPr>
          <w:rFonts w:ascii="Arial" w:hAnsi="Arial" w:cs="Arial"/>
          <w:color w:val="231F20"/>
        </w:rPr>
        <w:t xml:space="preserve"> D Reparación: Colombia atiende y repara   a </w:t>
      </w:r>
      <w:r w:rsidRPr="00B514AD">
        <w:rPr>
          <w:rFonts w:ascii="Arial" w:hAnsi="Arial" w:cs="Arial"/>
          <w:color w:val="231F20"/>
        </w:rPr>
        <w:lastRenderedPageBreak/>
        <w:t xml:space="preserve">las víctimas, objetivo 2. Priorizar recursos </w:t>
      </w:r>
      <w:r w:rsidR="00B35D57" w:rsidRPr="00B514AD">
        <w:rPr>
          <w:rFonts w:ascii="Arial" w:hAnsi="Arial" w:cs="Arial"/>
          <w:color w:val="231F20"/>
        </w:rPr>
        <w:t>en el</w:t>
      </w:r>
      <w:r w:rsidRPr="00B514AD">
        <w:rPr>
          <w:rFonts w:ascii="Arial" w:hAnsi="Arial" w:cs="Arial"/>
          <w:color w:val="231F20"/>
        </w:rPr>
        <w:t xml:space="preserve"> componente de reparación de la política de víctimas,</w:t>
      </w:r>
      <w:r w:rsidRPr="00B514AD">
        <w:rPr>
          <w:rFonts w:ascii="Arial" w:hAnsi="Arial" w:cs="Arial"/>
          <w:color w:val="231F20"/>
          <w:spacing w:val="-12"/>
        </w:rPr>
        <w:t xml:space="preserve"> </w:t>
      </w:r>
      <w:r w:rsidRPr="00B514AD">
        <w:rPr>
          <w:rFonts w:ascii="Arial" w:hAnsi="Arial" w:cs="Arial"/>
          <w:color w:val="231F20"/>
        </w:rPr>
        <w:t>se</w:t>
      </w:r>
      <w:r w:rsidRPr="00B514AD">
        <w:rPr>
          <w:rFonts w:ascii="Arial" w:hAnsi="Arial" w:cs="Arial"/>
          <w:color w:val="231F20"/>
          <w:spacing w:val="-12"/>
        </w:rPr>
        <w:t xml:space="preserve"> </w:t>
      </w:r>
      <w:r w:rsidRPr="00B514AD">
        <w:rPr>
          <w:rFonts w:ascii="Arial" w:hAnsi="Arial" w:cs="Arial"/>
          <w:color w:val="231F20"/>
        </w:rPr>
        <w:t>estableció</w:t>
      </w:r>
      <w:r w:rsidRPr="00B514AD">
        <w:rPr>
          <w:rFonts w:ascii="Arial" w:hAnsi="Arial" w:cs="Arial"/>
          <w:color w:val="231F20"/>
          <w:spacing w:val="-12"/>
        </w:rPr>
        <w:t xml:space="preserve"> </w:t>
      </w:r>
      <w:r w:rsidRPr="00B514AD">
        <w:rPr>
          <w:rFonts w:ascii="Arial" w:hAnsi="Arial" w:cs="Arial"/>
          <w:color w:val="231F20"/>
        </w:rPr>
        <w:t>la</w:t>
      </w:r>
      <w:r w:rsidRPr="00B514AD">
        <w:rPr>
          <w:rFonts w:ascii="Arial" w:hAnsi="Arial" w:cs="Arial"/>
          <w:color w:val="231F20"/>
          <w:spacing w:val="-12"/>
        </w:rPr>
        <w:t xml:space="preserve"> </w:t>
      </w:r>
      <w:r w:rsidRPr="00B514AD">
        <w:rPr>
          <w:rFonts w:ascii="Arial" w:hAnsi="Arial" w:cs="Arial"/>
          <w:color w:val="231F20"/>
        </w:rPr>
        <w:t>meta</w:t>
      </w:r>
      <w:r w:rsidRPr="00B514AD">
        <w:rPr>
          <w:rFonts w:ascii="Arial" w:hAnsi="Arial" w:cs="Arial"/>
          <w:color w:val="231F20"/>
          <w:spacing w:val="-12"/>
        </w:rPr>
        <w:t xml:space="preserve"> </w:t>
      </w:r>
      <w:r w:rsidRPr="00B514AD">
        <w:rPr>
          <w:rFonts w:ascii="Arial" w:hAnsi="Arial" w:cs="Arial"/>
          <w:color w:val="231F20"/>
        </w:rPr>
        <w:t>para</w:t>
      </w:r>
      <w:r w:rsidRPr="00B514AD">
        <w:rPr>
          <w:rFonts w:ascii="Arial" w:hAnsi="Arial" w:cs="Arial"/>
          <w:color w:val="231F20"/>
          <w:spacing w:val="-12"/>
        </w:rPr>
        <w:t xml:space="preserve"> </w:t>
      </w:r>
      <w:r w:rsidRPr="00B514AD">
        <w:rPr>
          <w:rFonts w:ascii="Arial" w:hAnsi="Arial" w:cs="Arial"/>
          <w:color w:val="231F20"/>
        </w:rPr>
        <w:t>este</w:t>
      </w:r>
      <w:r w:rsidRPr="00B514AD">
        <w:rPr>
          <w:rFonts w:ascii="Arial" w:hAnsi="Arial" w:cs="Arial"/>
          <w:color w:val="231F20"/>
          <w:spacing w:val="-12"/>
        </w:rPr>
        <w:t xml:space="preserve"> </w:t>
      </w:r>
      <w:r w:rsidRPr="00B514AD">
        <w:rPr>
          <w:rFonts w:ascii="Arial" w:hAnsi="Arial" w:cs="Arial"/>
          <w:color w:val="231F20"/>
        </w:rPr>
        <w:t>cuatrienio en cuanto a reparación</w:t>
      </w:r>
      <w:r w:rsidRPr="00B514AD">
        <w:rPr>
          <w:rFonts w:ascii="Arial" w:hAnsi="Arial" w:cs="Arial"/>
          <w:color w:val="231F20"/>
          <w:spacing w:val="13"/>
        </w:rPr>
        <w:t xml:space="preserve"> </w:t>
      </w:r>
      <w:r w:rsidRPr="00B514AD">
        <w:rPr>
          <w:rFonts w:ascii="Arial" w:hAnsi="Arial" w:cs="Arial"/>
          <w:color w:val="231F20"/>
        </w:rPr>
        <w:t>administrativa.</w:t>
      </w:r>
    </w:p>
    <w:p w:rsidR="00EC5F4C" w:rsidRPr="00B514AD" w:rsidRDefault="00EC5F4C" w:rsidP="00017F19">
      <w:pPr>
        <w:pStyle w:val="Textoindependiente"/>
        <w:spacing w:before="3"/>
        <w:jc w:val="both"/>
        <w:rPr>
          <w:rFonts w:ascii="Arial" w:hAnsi="Arial" w:cs="Arial"/>
        </w:rPr>
      </w:pPr>
    </w:p>
    <w:p w:rsidR="00EC5F4C" w:rsidRPr="00B514AD" w:rsidRDefault="00EC5F4C" w:rsidP="00017F19">
      <w:pPr>
        <w:pStyle w:val="Textoindependiente"/>
        <w:ind w:right="-23"/>
        <w:jc w:val="center"/>
        <w:rPr>
          <w:rFonts w:ascii="Arial" w:hAnsi="Arial" w:cs="Arial"/>
        </w:rPr>
      </w:pPr>
      <w:r w:rsidRPr="00B514AD">
        <w:rPr>
          <w:rFonts w:ascii="Arial" w:hAnsi="Arial" w:cs="Arial"/>
          <w:noProof/>
          <w:lang w:val="es-CO" w:eastAsia="es-CO" w:bidi="ar-SA"/>
        </w:rPr>
        <w:drawing>
          <wp:inline distT="0" distB="0" distL="0" distR="0" wp14:anchorId="6D99C5AA" wp14:editId="3F40EE7D">
            <wp:extent cx="3074292" cy="101631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3074292" cy="1016317"/>
                    </a:xfrm>
                    <a:prstGeom prst="rect">
                      <a:avLst/>
                    </a:prstGeom>
                  </pic:spPr>
                </pic:pic>
              </a:graphicData>
            </a:graphic>
          </wp:inline>
        </w:drawing>
      </w:r>
    </w:p>
    <w:p w:rsidR="00EC5F4C" w:rsidRPr="00B514AD" w:rsidRDefault="00EC5F4C" w:rsidP="00017F19">
      <w:pPr>
        <w:pStyle w:val="Textoindependiente"/>
        <w:spacing w:before="126" w:line="225" w:lineRule="auto"/>
        <w:ind w:right="84" w:firstLine="283"/>
        <w:jc w:val="both"/>
        <w:rPr>
          <w:rFonts w:ascii="Arial" w:hAnsi="Arial" w:cs="Arial"/>
        </w:rPr>
      </w:pPr>
      <w:r w:rsidRPr="00B514AD">
        <w:rPr>
          <w:rFonts w:ascii="Arial" w:hAnsi="Arial" w:cs="Arial"/>
          <w:color w:val="231F20"/>
        </w:rPr>
        <w:t xml:space="preserve">Esta </w:t>
      </w:r>
      <w:r w:rsidR="00B35D57" w:rsidRPr="00B514AD">
        <w:rPr>
          <w:rFonts w:ascii="Arial" w:hAnsi="Arial" w:cs="Arial"/>
          <w:color w:val="231F20"/>
        </w:rPr>
        <w:t>decisión proyecta que en los 4 años se</w:t>
      </w:r>
      <w:r w:rsidRPr="00B514AD">
        <w:rPr>
          <w:rFonts w:ascii="Arial" w:hAnsi="Arial" w:cs="Arial"/>
          <w:color w:val="231F20"/>
        </w:rPr>
        <w:t xml:space="preserve"> indemnizarán 510.296 personas, que, si se distribuye</w:t>
      </w:r>
      <w:r w:rsidRPr="00B514AD">
        <w:rPr>
          <w:rFonts w:ascii="Arial" w:hAnsi="Arial" w:cs="Arial"/>
          <w:color w:val="231F20"/>
          <w:spacing w:val="-9"/>
        </w:rPr>
        <w:t xml:space="preserve"> </w:t>
      </w:r>
      <w:r w:rsidRPr="00B514AD">
        <w:rPr>
          <w:rFonts w:ascii="Arial" w:hAnsi="Arial" w:cs="Arial"/>
          <w:color w:val="231F20"/>
        </w:rPr>
        <w:t>en</w:t>
      </w:r>
      <w:r w:rsidRPr="00B514AD">
        <w:rPr>
          <w:rFonts w:ascii="Arial" w:hAnsi="Arial" w:cs="Arial"/>
          <w:color w:val="231F20"/>
          <w:spacing w:val="-8"/>
        </w:rPr>
        <w:t xml:space="preserve"> </w:t>
      </w:r>
      <w:r w:rsidRPr="00B514AD">
        <w:rPr>
          <w:rFonts w:ascii="Arial" w:hAnsi="Arial" w:cs="Arial"/>
          <w:color w:val="231F20"/>
        </w:rPr>
        <w:t>las</w:t>
      </w:r>
      <w:r w:rsidRPr="00B514AD">
        <w:rPr>
          <w:rFonts w:ascii="Arial" w:hAnsi="Arial" w:cs="Arial"/>
          <w:color w:val="231F20"/>
          <w:spacing w:val="-8"/>
        </w:rPr>
        <w:t xml:space="preserve"> </w:t>
      </w:r>
      <w:r w:rsidRPr="00B514AD">
        <w:rPr>
          <w:rFonts w:ascii="Arial" w:hAnsi="Arial" w:cs="Arial"/>
          <w:color w:val="231F20"/>
        </w:rPr>
        <w:t>vigencias,</w:t>
      </w:r>
      <w:r w:rsidRPr="00B514AD">
        <w:rPr>
          <w:rFonts w:ascii="Arial" w:hAnsi="Arial" w:cs="Arial"/>
          <w:color w:val="231F20"/>
          <w:spacing w:val="-8"/>
        </w:rPr>
        <w:t xml:space="preserve"> </w:t>
      </w:r>
      <w:r w:rsidRPr="00B514AD">
        <w:rPr>
          <w:rFonts w:ascii="Arial" w:hAnsi="Arial" w:cs="Arial"/>
          <w:color w:val="231F20"/>
        </w:rPr>
        <w:t>concuerda</w:t>
      </w:r>
      <w:r w:rsidRPr="00B514AD">
        <w:rPr>
          <w:rFonts w:ascii="Arial" w:hAnsi="Arial" w:cs="Arial"/>
          <w:color w:val="231F20"/>
          <w:spacing w:val="-8"/>
        </w:rPr>
        <w:t xml:space="preserve"> </w:t>
      </w:r>
      <w:r w:rsidRPr="00B514AD">
        <w:rPr>
          <w:rFonts w:ascii="Arial" w:hAnsi="Arial" w:cs="Arial"/>
          <w:color w:val="231F20"/>
        </w:rPr>
        <w:t>con</w:t>
      </w:r>
      <w:r w:rsidRPr="00B514AD">
        <w:rPr>
          <w:rFonts w:ascii="Arial" w:hAnsi="Arial" w:cs="Arial"/>
          <w:color w:val="231F20"/>
          <w:spacing w:val="-8"/>
        </w:rPr>
        <w:t xml:space="preserve"> </w:t>
      </w:r>
      <w:r w:rsidRPr="00B514AD">
        <w:rPr>
          <w:rFonts w:ascii="Arial" w:hAnsi="Arial" w:cs="Arial"/>
          <w:color w:val="231F20"/>
        </w:rPr>
        <w:t>nuestra anterior afirmación de cerca de 120.000</w:t>
      </w:r>
      <w:r w:rsidRPr="00B514AD">
        <w:rPr>
          <w:rFonts w:ascii="Arial" w:hAnsi="Arial" w:cs="Arial"/>
          <w:color w:val="231F20"/>
          <w:spacing w:val="37"/>
        </w:rPr>
        <w:t xml:space="preserve"> </w:t>
      </w:r>
      <w:r w:rsidR="00B35D57" w:rsidRPr="00B514AD">
        <w:rPr>
          <w:rFonts w:ascii="Arial" w:hAnsi="Arial" w:cs="Arial"/>
          <w:color w:val="231F20"/>
        </w:rPr>
        <w:t>personas anuales</w:t>
      </w:r>
      <w:r w:rsidRPr="00B514AD">
        <w:rPr>
          <w:rFonts w:ascii="Arial" w:hAnsi="Arial" w:cs="Arial"/>
          <w:color w:val="231F20"/>
        </w:rPr>
        <w:t>, es decir que se requerirían 70 años para completar la indemnización de todas las víctimas registradas.</w:t>
      </w:r>
    </w:p>
    <w:p w:rsidR="00EC5F4C" w:rsidRPr="00B514AD" w:rsidRDefault="00EC5F4C" w:rsidP="00017F19">
      <w:pPr>
        <w:pStyle w:val="Textoindependiente"/>
        <w:spacing w:before="93" w:line="216" w:lineRule="auto"/>
        <w:ind w:right="158" w:firstLine="283"/>
        <w:jc w:val="both"/>
        <w:rPr>
          <w:rFonts w:ascii="Arial" w:hAnsi="Arial" w:cs="Arial"/>
        </w:rPr>
      </w:pPr>
      <w:r w:rsidRPr="00B514AD">
        <w:rPr>
          <w:rFonts w:ascii="Arial" w:hAnsi="Arial" w:cs="Arial"/>
          <w:color w:val="231F20"/>
        </w:rPr>
        <w:t xml:space="preserve">En las bases del Plan de Desarrollo, que hace parte integral de la </w:t>
      </w:r>
      <w:r w:rsidRPr="00B514AD">
        <w:rPr>
          <w:rFonts w:ascii="Arial" w:hAnsi="Arial" w:cs="Arial"/>
          <w:color w:val="231F20"/>
          <w:spacing w:val="-4"/>
        </w:rPr>
        <w:t xml:space="preserve">ley, </w:t>
      </w:r>
      <w:r w:rsidRPr="00B514AD">
        <w:rPr>
          <w:rFonts w:ascii="Arial" w:hAnsi="Arial" w:cs="Arial"/>
          <w:color w:val="231F20"/>
        </w:rPr>
        <w:t>se identifica que son</w:t>
      </w:r>
      <w:r w:rsidRPr="00B514AD">
        <w:rPr>
          <w:rFonts w:ascii="Arial" w:hAnsi="Arial" w:cs="Arial"/>
          <w:color w:val="231F20"/>
          <w:spacing w:val="-29"/>
        </w:rPr>
        <w:t xml:space="preserve"> </w:t>
      </w:r>
      <w:r w:rsidRPr="00B514AD">
        <w:rPr>
          <w:rFonts w:ascii="Arial" w:hAnsi="Arial" w:cs="Arial"/>
          <w:color w:val="231F20"/>
        </w:rPr>
        <w:t>cinco las</w:t>
      </w:r>
      <w:r w:rsidRPr="00B514AD">
        <w:rPr>
          <w:rFonts w:ascii="Arial" w:hAnsi="Arial" w:cs="Arial"/>
          <w:color w:val="231F20"/>
          <w:spacing w:val="-8"/>
        </w:rPr>
        <w:t xml:space="preserve"> </w:t>
      </w:r>
      <w:r w:rsidRPr="00B514AD">
        <w:rPr>
          <w:rFonts w:ascii="Arial" w:hAnsi="Arial" w:cs="Arial"/>
          <w:color w:val="231F20"/>
        </w:rPr>
        <w:t>principales</w:t>
      </w:r>
      <w:r w:rsidRPr="00B514AD">
        <w:rPr>
          <w:rFonts w:ascii="Arial" w:hAnsi="Arial" w:cs="Arial"/>
          <w:color w:val="231F20"/>
          <w:spacing w:val="-8"/>
        </w:rPr>
        <w:t xml:space="preserve"> </w:t>
      </w:r>
      <w:r w:rsidRPr="00B514AD">
        <w:rPr>
          <w:rFonts w:ascii="Arial" w:hAnsi="Arial" w:cs="Arial"/>
          <w:color w:val="231F20"/>
        </w:rPr>
        <w:t>causales</w:t>
      </w:r>
      <w:r w:rsidRPr="00B514AD">
        <w:rPr>
          <w:rFonts w:ascii="Arial" w:hAnsi="Arial" w:cs="Arial"/>
          <w:color w:val="231F20"/>
          <w:spacing w:val="-8"/>
        </w:rPr>
        <w:t xml:space="preserve"> </w:t>
      </w:r>
      <w:r w:rsidRPr="00B514AD">
        <w:rPr>
          <w:rFonts w:ascii="Arial" w:hAnsi="Arial" w:cs="Arial"/>
          <w:color w:val="231F20"/>
        </w:rPr>
        <w:t>para</w:t>
      </w:r>
      <w:r w:rsidRPr="00B514AD">
        <w:rPr>
          <w:rFonts w:ascii="Arial" w:hAnsi="Arial" w:cs="Arial"/>
          <w:color w:val="231F20"/>
          <w:spacing w:val="-8"/>
        </w:rPr>
        <w:t xml:space="preserve"> </w:t>
      </w:r>
      <w:r w:rsidRPr="00B514AD">
        <w:rPr>
          <w:rFonts w:ascii="Arial" w:hAnsi="Arial" w:cs="Arial"/>
          <w:color w:val="231F20"/>
        </w:rPr>
        <w:t>hacer</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rPr>
        <w:t>este</w:t>
      </w:r>
      <w:r w:rsidRPr="00B514AD">
        <w:rPr>
          <w:rFonts w:ascii="Arial" w:hAnsi="Arial" w:cs="Arial"/>
          <w:color w:val="231F20"/>
          <w:spacing w:val="-8"/>
        </w:rPr>
        <w:t xml:space="preserve"> </w:t>
      </w:r>
      <w:r w:rsidRPr="00B514AD">
        <w:rPr>
          <w:rFonts w:ascii="Arial" w:hAnsi="Arial" w:cs="Arial"/>
          <w:color w:val="231F20"/>
        </w:rPr>
        <w:t>proceso tan</w:t>
      </w:r>
      <w:r w:rsidRPr="00B514AD">
        <w:rPr>
          <w:rFonts w:ascii="Arial" w:hAnsi="Arial" w:cs="Arial"/>
          <w:color w:val="231F20"/>
          <w:spacing w:val="2"/>
        </w:rPr>
        <w:t xml:space="preserve"> </w:t>
      </w:r>
      <w:r w:rsidRPr="00B514AD">
        <w:rPr>
          <w:rFonts w:ascii="Arial" w:hAnsi="Arial" w:cs="Arial"/>
          <w:color w:val="231F20"/>
        </w:rPr>
        <w:t>lento</w:t>
      </w:r>
      <w:r w:rsidR="00B514AD" w:rsidRPr="00B514AD">
        <w:rPr>
          <w:rStyle w:val="Refdenotaalpie"/>
          <w:rFonts w:ascii="Arial" w:hAnsi="Arial" w:cs="Arial"/>
          <w:color w:val="231F20"/>
        </w:rPr>
        <w:footnoteReference w:id="15"/>
      </w:r>
      <w:r w:rsidRPr="00B514AD">
        <w:rPr>
          <w:rFonts w:ascii="Arial" w:hAnsi="Arial" w:cs="Arial"/>
          <w:color w:val="231F20"/>
        </w:rPr>
        <w:t>.</w:t>
      </w:r>
    </w:p>
    <w:p w:rsidR="00017F19" w:rsidRPr="00B514AD" w:rsidRDefault="00EC5F4C" w:rsidP="00017F19">
      <w:pPr>
        <w:pStyle w:val="Prrafodelista"/>
        <w:numPr>
          <w:ilvl w:val="0"/>
          <w:numId w:val="46"/>
        </w:numPr>
        <w:tabs>
          <w:tab w:val="left" w:pos="833"/>
        </w:tabs>
        <w:spacing w:before="15" w:line="342" w:lineRule="exact"/>
        <w:ind w:right="365"/>
        <w:jc w:val="both"/>
        <w:rPr>
          <w:rFonts w:ascii="Arial" w:hAnsi="Arial" w:cs="Arial"/>
          <w:color w:val="231F20"/>
        </w:rPr>
      </w:pPr>
      <w:r w:rsidRPr="00B514AD">
        <w:rPr>
          <w:rFonts w:ascii="Arial" w:hAnsi="Arial" w:cs="Arial"/>
          <w:color w:val="231F20"/>
        </w:rPr>
        <w:t xml:space="preserve">La disponibilidad de recursos financieros. </w:t>
      </w:r>
    </w:p>
    <w:p w:rsidR="00EC5F4C" w:rsidRPr="00B514AD" w:rsidRDefault="00EC5F4C" w:rsidP="00017F19">
      <w:pPr>
        <w:pStyle w:val="Prrafodelista"/>
        <w:numPr>
          <w:ilvl w:val="0"/>
          <w:numId w:val="46"/>
        </w:numPr>
        <w:tabs>
          <w:tab w:val="left" w:pos="833"/>
        </w:tabs>
        <w:spacing w:before="15" w:line="342" w:lineRule="exact"/>
        <w:ind w:right="365"/>
        <w:jc w:val="both"/>
        <w:rPr>
          <w:rFonts w:ascii="Arial" w:hAnsi="Arial" w:cs="Arial"/>
        </w:rPr>
      </w:pPr>
      <w:r w:rsidRPr="00B514AD">
        <w:rPr>
          <w:rFonts w:ascii="Arial" w:hAnsi="Arial" w:cs="Arial"/>
          <w:color w:val="231F20"/>
        </w:rPr>
        <w:t xml:space="preserve">  </w:t>
      </w:r>
      <w:r w:rsidRPr="00B514AD">
        <w:rPr>
          <w:rFonts w:ascii="Arial" w:hAnsi="Arial" w:cs="Arial"/>
          <w:color w:val="231F20"/>
          <w:spacing w:val="-7"/>
        </w:rPr>
        <w:t xml:space="preserve"> </w:t>
      </w:r>
      <w:r w:rsidR="00017F19" w:rsidRPr="00B514AD">
        <w:rPr>
          <w:rFonts w:ascii="Arial" w:hAnsi="Arial" w:cs="Arial"/>
          <w:color w:val="231F20"/>
          <w:spacing w:val="-7"/>
        </w:rPr>
        <w:t xml:space="preserve">Dificultades </w:t>
      </w:r>
      <w:r w:rsidRPr="00B514AD">
        <w:rPr>
          <w:rFonts w:ascii="Arial" w:hAnsi="Arial" w:cs="Arial"/>
          <w:color w:val="231F20"/>
          <w:spacing w:val="1"/>
        </w:rPr>
        <w:t>e</w:t>
      </w:r>
      <w:r w:rsidRPr="00B514AD">
        <w:rPr>
          <w:rFonts w:ascii="Arial" w:hAnsi="Arial" w:cs="Arial"/>
          <w:color w:val="231F20"/>
        </w:rPr>
        <w:t xml:space="preserve">n  </w:t>
      </w:r>
      <w:r w:rsidRPr="00B514AD">
        <w:rPr>
          <w:rFonts w:ascii="Arial" w:hAnsi="Arial" w:cs="Arial"/>
          <w:color w:val="231F20"/>
          <w:spacing w:val="-7"/>
        </w:rPr>
        <w:t xml:space="preserve"> </w:t>
      </w:r>
      <w:r w:rsidRPr="00B514AD">
        <w:rPr>
          <w:rFonts w:ascii="Arial" w:hAnsi="Arial" w:cs="Arial"/>
          <w:color w:val="231F20"/>
          <w:spacing w:val="1"/>
        </w:rPr>
        <w:t>l</w:t>
      </w:r>
      <w:r w:rsidRPr="00B514AD">
        <w:rPr>
          <w:rFonts w:ascii="Arial" w:hAnsi="Arial" w:cs="Arial"/>
          <w:color w:val="231F20"/>
        </w:rPr>
        <w:t xml:space="preserve">a  </w:t>
      </w:r>
      <w:r w:rsidRPr="00B514AD">
        <w:rPr>
          <w:rFonts w:ascii="Arial" w:hAnsi="Arial" w:cs="Arial"/>
          <w:color w:val="231F20"/>
          <w:spacing w:val="-7"/>
        </w:rPr>
        <w:t xml:space="preserve"> </w:t>
      </w:r>
      <w:r w:rsidRPr="00B514AD">
        <w:rPr>
          <w:rFonts w:ascii="Arial" w:hAnsi="Arial" w:cs="Arial"/>
          <w:color w:val="231F20"/>
          <w:spacing w:val="1"/>
        </w:rPr>
        <w:t>monetizació</w:t>
      </w:r>
      <w:r w:rsidRPr="00B514AD">
        <w:rPr>
          <w:rFonts w:ascii="Arial" w:hAnsi="Arial" w:cs="Arial"/>
          <w:color w:val="231F20"/>
        </w:rPr>
        <w:t xml:space="preserve">n  </w:t>
      </w:r>
      <w:r w:rsidRPr="00B514AD">
        <w:rPr>
          <w:rFonts w:ascii="Arial" w:hAnsi="Arial" w:cs="Arial"/>
          <w:color w:val="231F20"/>
          <w:spacing w:val="-7"/>
        </w:rPr>
        <w:t xml:space="preserve"> </w:t>
      </w:r>
      <w:r w:rsidRPr="00B514AD">
        <w:rPr>
          <w:rFonts w:ascii="Arial" w:hAnsi="Arial" w:cs="Arial"/>
          <w:color w:val="231F20"/>
          <w:spacing w:val="1"/>
        </w:rPr>
        <w:t>de</w:t>
      </w:r>
      <w:r w:rsidR="00017F19" w:rsidRPr="00B514AD">
        <w:rPr>
          <w:rFonts w:ascii="Arial" w:hAnsi="Arial" w:cs="Arial"/>
          <w:color w:val="231F20"/>
          <w:spacing w:val="1"/>
        </w:rPr>
        <w:t xml:space="preserve"> </w:t>
      </w:r>
      <w:r w:rsidRPr="00B514AD">
        <w:rPr>
          <w:rFonts w:ascii="Arial" w:hAnsi="Arial" w:cs="Arial"/>
          <w:color w:val="231F20"/>
        </w:rPr>
        <w:t>los bienes del Fondo para la</w:t>
      </w:r>
      <w:r w:rsidRPr="00B514AD">
        <w:rPr>
          <w:rFonts w:ascii="Arial" w:hAnsi="Arial" w:cs="Arial"/>
          <w:color w:val="231F20"/>
          <w:spacing w:val="53"/>
        </w:rPr>
        <w:t xml:space="preserve"> </w:t>
      </w:r>
      <w:r w:rsidRPr="00B514AD">
        <w:rPr>
          <w:rFonts w:ascii="Arial" w:hAnsi="Arial" w:cs="Arial"/>
          <w:color w:val="231F20"/>
        </w:rPr>
        <w:t>Reparación</w:t>
      </w:r>
      <w:r w:rsidR="00017F19" w:rsidRPr="00B514AD">
        <w:rPr>
          <w:rFonts w:ascii="Arial" w:hAnsi="Arial" w:cs="Arial"/>
          <w:color w:val="231F20"/>
        </w:rPr>
        <w:t xml:space="preserve"> </w:t>
      </w:r>
      <w:r w:rsidRPr="00B514AD">
        <w:rPr>
          <w:rFonts w:ascii="Arial" w:hAnsi="Arial" w:cs="Arial"/>
          <w:color w:val="231F20"/>
        </w:rPr>
        <w:t>a las Víctimas y los costos asociados a su administración.</w:t>
      </w:r>
    </w:p>
    <w:p w:rsidR="00953CE8" w:rsidRPr="00B514AD" w:rsidRDefault="00EC5F4C" w:rsidP="00953CE8">
      <w:pPr>
        <w:pStyle w:val="Prrafodelista"/>
        <w:numPr>
          <w:ilvl w:val="0"/>
          <w:numId w:val="46"/>
        </w:numPr>
        <w:tabs>
          <w:tab w:val="left" w:pos="833"/>
        </w:tabs>
        <w:spacing w:before="80" w:line="309" w:lineRule="auto"/>
        <w:ind w:right="623"/>
        <w:jc w:val="both"/>
        <w:rPr>
          <w:rFonts w:ascii="Arial" w:hAnsi="Arial" w:cs="Arial"/>
          <w:color w:val="231F20"/>
          <w:spacing w:val="-115"/>
        </w:rPr>
      </w:pPr>
      <w:r w:rsidRPr="00B514AD">
        <w:rPr>
          <w:rFonts w:ascii="Arial" w:hAnsi="Arial" w:cs="Arial"/>
          <w:color w:val="231F20"/>
        </w:rPr>
        <w:t xml:space="preserve">El pago de indemnizaciones judiciales. </w:t>
      </w:r>
    </w:p>
    <w:p w:rsidR="00EC5F4C" w:rsidRPr="00B514AD" w:rsidRDefault="00953CE8" w:rsidP="00953CE8">
      <w:pPr>
        <w:pStyle w:val="Prrafodelista"/>
        <w:numPr>
          <w:ilvl w:val="0"/>
          <w:numId w:val="46"/>
        </w:numPr>
        <w:tabs>
          <w:tab w:val="left" w:pos="833"/>
        </w:tabs>
        <w:spacing w:before="80" w:line="309" w:lineRule="auto"/>
        <w:ind w:right="623"/>
        <w:jc w:val="both"/>
        <w:rPr>
          <w:rFonts w:ascii="Arial" w:hAnsi="Arial" w:cs="Arial"/>
        </w:rPr>
      </w:pPr>
      <w:r w:rsidRPr="00B514AD">
        <w:rPr>
          <w:rFonts w:ascii="Arial" w:hAnsi="Arial" w:cs="Arial"/>
          <w:color w:val="231F20"/>
          <w:spacing w:val="-27"/>
        </w:rPr>
        <w:t xml:space="preserve">Proceso </w:t>
      </w:r>
      <w:r w:rsidR="00EC5F4C" w:rsidRPr="00B514AD">
        <w:rPr>
          <w:rFonts w:ascii="Arial" w:hAnsi="Arial" w:cs="Arial"/>
          <w:color w:val="231F20"/>
          <w:spacing w:val="1"/>
        </w:rPr>
        <w:t>d</w:t>
      </w:r>
      <w:r w:rsidR="00EC5F4C" w:rsidRPr="00B514AD">
        <w:rPr>
          <w:rFonts w:ascii="Arial" w:hAnsi="Arial" w:cs="Arial"/>
          <w:color w:val="231F20"/>
        </w:rPr>
        <w:t>e</w:t>
      </w:r>
      <w:r w:rsidR="00EC5F4C" w:rsidRPr="00B514AD">
        <w:rPr>
          <w:rFonts w:ascii="Arial" w:hAnsi="Arial" w:cs="Arial"/>
          <w:color w:val="231F20"/>
          <w:spacing w:val="-27"/>
        </w:rPr>
        <w:t xml:space="preserve"> </w:t>
      </w:r>
      <w:r w:rsidR="00EC5F4C" w:rsidRPr="00B514AD">
        <w:rPr>
          <w:rFonts w:ascii="Arial" w:hAnsi="Arial" w:cs="Arial"/>
          <w:color w:val="231F20"/>
          <w:spacing w:val="1"/>
        </w:rPr>
        <w:t>documentació</w:t>
      </w:r>
      <w:r w:rsidR="00EC5F4C" w:rsidRPr="00B514AD">
        <w:rPr>
          <w:rFonts w:ascii="Arial" w:hAnsi="Arial" w:cs="Arial"/>
          <w:color w:val="231F20"/>
        </w:rPr>
        <w:t>n</w:t>
      </w:r>
      <w:r w:rsidR="00EC5F4C" w:rsidRPr="00B514AD">
        <w:rPr>
          <w:rFonts w:ascii="Arial" w:hAnsi="Arial" w:cs="Arial"/>
          <w:color w:val="231F20"/>
          <w:spacing w:val="-27"/>
        </w:rPr>
        <w:t xml:space="preserve"> </w:t>
      </w:r>
      <w:r w:rsidR="00EC5F4C" w:rsidRPr="00B514AD">
        <w:rPr>
          <w:rFonts w:ascii="Arial" w:hAnsi="Arial" w:cs="Arial"/>
          <w:color w:val="231F20"/>
          <w:spacing w:val="1"/>
        </w:rPr>
        <w:t>administrativo.</w:t>
      </w:r>
    </w:p>
    <w:p w:rsidR="00EC5F4C" w:rsidRPr="00B514AD" w:rsidRDefault="00EC5F4C" w:rsidP="00017F19">
      <w:pPr>
        <w:tabs>
          <w:tab w:val="left" w:pos="833"/>
        </w:tabs>
        <w:spacing w:before="2"/>
        <w:ind w:left="433"/>
        <w:jc w:val="both"/>
        <w:rPr>
          <w:rFonts w:ascii="Arial" w:hAnsi="Arial" w:cs="Arial"/>
        </w:rPr>
      </w:pPr>
      <w:r w:rsidRPr="00B514AD">
        <w:rPr>
          <w:rFonts w:ascii="Arial" w:hAnsi="Arial" w:cs="Arial"/>
          <w:color w:val="231F20"/>
        </w:rPr>
        <w:t>5.</w:t>
      </w:r>
      <w:r w:rsidRPr="00B514AD">
        <w:rPr>
          <w:rFonts w:ascii="Arial" w:hAnsi="Arial" w:cs="Arial"/>
          <w:color w:val="231F20"/>
        </w:rPr>
        <w:tab/>
        <w:t>El crecimiento del universo de</w:t>
      </w:r>
      <w:r w:rsidRPr="00B514AD">
        <w:rPr>
          <w:rFonts w:ascii="Arial" w:hAnsi="Arial" w:cs="Arial"/>
          <w:color w:val="231F20"/>
          <w:spacing w:val="21"/>
        </w:rPr>
        <w:t xml:space="preserve"> </w:t>
      </w:r>
      <w:r w:rsidRPr="00B514AD">
        <w:rPr>
          <w:rFonts w:ascii="Arial" w:hAnsi="Arial" w:cs="Arial"/>
          <w:color w:val="231F20"/>
        </w:rPr>
        <w:t>víctimas.</w:t>
      </w:r>
    </w:p>
    <w:p w:rsidR="00EC5F4C" w:rsidRDefault="00EC5F4C" w:rsidP="00017F19">
      <w:pPr>
        <w:pStyle w:val="Textoindependiente"/>
        <w:spacing w:before="83" w:line="223" w:lineRule="auto"/>
        <w:ind w:right="158" w:firstLine="283"/>
        <w:jc w:val="both"/>
        <w:rPr>
          <w:rFonts w:ascii="Arial" w:hAnsi="Arial" w:cs="Arial"/>
          <w:color w:val="231F20"/>
          <w:spacing w:val="-4"/>
        </w:rPr>
      </w:pPr>
      <w:r w:rsidRPr="00B514AD">
        <w:rPr>
          <w:rFonts w:ascii="Arial" w:hAnsi="Arial" w:cs="Arial"/>
          <w:color w:val="231F20"/>
        </w:rPr>
        <w:t>Por último, es pertinente mencionar</w:t>
      </w:r>
      <w:r w:rsidRPr="00B514AD">
        <w:rPr>
          <w:rFonts w:ascii="Arial" w:hAnsi="Arial" w:cs="Arial"/>
          <w:color w:val="231F20"/>
          <w:spacing w:val="39"/>
        </w:rPr>
        <w:t xml:space="preserve"> </w:t>
      </w:r>
      <w:r w:rsidRPr="00B514AD">
        <w:rPr>
          <w:rFonts w:ascii="Arial" w:hAnsi="Arial" w:cs="Arial"/>
          <w:color w:val="231F20"/>
        </w:rPr>
        <w:t xml:space="preserve">que, durante la discusión en el Congreso del Plan Nacional de Desarrollo, la Comisión de la Cámara de Representantes de Seguimiento a la Ley de Víctimas, realizó un </w:t>
      </w:r>
      <w:r w:rsidR="00B35D57" w:rsidRPr="00B514AD">
        <w:rPr>
          <w:rFonts w:ascii="Arial" w:hAnsi="Arial" w:cs="Arial"/>
          <w:color w:val="231F20"/>
        </w:rPr>
        <w:t>constante trabajo</w:t>
      </w:r>
      <w:r w:rsidRPr="00B514AD">
        <w:rPr>
          <w:rFonts w:ascii="Arial" w:hAnsi="Arial" w:cs="Arial"/>
          <w:color w:val="231F20"/>
        </w:rPr>
        <w:t xml:space="preserve"> con la Mesa Nacional de Víctimas y múltiples asociaciones que las agrupan, donde se evidenció un llamado constante para la ampliación de la</w:t>
      </w:r>
      <w:r w:rsidRPr="00B514AD">
        <w:rPr>
          <w:rFonts w:ascii="Arial" w:hAnsi="Arial" w:cs="Arial"/>
          <w:color w:val="231F20"/>
          <w:spacing w:val="-33"/>
        </w:rPr>
        <w:t xml:space="preserve"> </w:t>
      </w:r>
      <w:r w:rsidRPr="00B514AD">
        <w:rPr>
          <w:rFonts w:ascii="Arial" w:hAnsi="Arial" w:cs="Arial"/>
          <w:color w:val="231F20"/>
          <w:spacing w:val="-4"/>
        </w:rPr>
        <w:t>ley.</w:t>
      </w:r>
    </w:p>
    <w:p w:rsidR="00A2760A" w:rsidRDefault="00A2760A" w:rsidP="00017F19">
      <w:pPr>
        <w:pStyle w:val="Ttulo2"/>
        <w:spacing w:before="73"/>
        <w:jc w:val="both"/>
        <w:rPr>
          <w:rFonts w:ascii="Arial" w:hAnsi="Arial" w:cs="Arial"/>
          <w:color w:val="231F20"/>
        </w:rPr>
      </w:pPr>
    </w:p>
    <w:p w:rsidR="00EC5F4C" w:rsidRDefault="00EC5F4C" w:rsidP="00017F19">
      <w:pPr>
        <w:pStyle w:val="Ttulo2"/>
        <w:spacing w:before="73"/>
        <w:jc w:val="both"/>
        <w:rPr>
          <w:rFonts w:ascii="Arial" w:hAnsi="Arial" w:cs="Arial"/>
          <w:color w:val="231F20"/>
        </w:rPr>
      </w:pPr>
      <w:r w:rsidRPr="00B514AD">
        <w:rPr>
          <w:rFonts w:ascii="Arial" w:hAnsi="Arial" w:cs="Arial"/>
          <w:color w:val="231F20"/>
        </w:rPr>
        <w:t>A modo de conclusión</w:t>
      </w:r>
    </w:p>
    <w:p w:rsidR="00B514AD" w:rsidRPr="00B514AD" w:rsidRDefault="00B514AD" w:rsidP="00017F19">
      <w:pPr>
        <w:pStyle w:val="Ttulo2"/>
        <w:spacing w:before="73"/>
        <w:jc w:val="both"/>
        <w:rPr>
          <w:rFonts w:ascii="Arial" w:hAnsi="Arial" w:cs="Arial"/>
        </w:rPr>
      </w:pPr>
    </w:p>
    <w:p w:rsidR="00EC5F4C" w:rsidRPr="00B514AD" w:rsidRDefault="00EC5F4C" w:rsidP="00017F19">
      <w:pPr>
        <w:pStyle w:val="Textoindependiente"/>
        <w:spacing w:before="81" w:line="223" w:lineRule="auto"/>
        <w:ind w:right="158" w:firstLine="283"/>
        <w:jc w:val="both"/>
        <w:rPr>
          <w:rFonts w:ascii="Arial" w:hAnsi="Arial" w:cs="Arial"/>
        </w:rPr>
      </w:pPr>
      <w:r w:rsidRPr="00B514AD">
        <w:rPr>
          <w:rFonts w:ascii="Arial" w:hAnsi="Arial" w:cs="Arial"/>
          <w:color w:val="231F20"/>
        </w:rPr>
        <w:t>De lo expuesto hasta aquí podemos</w:t>
      </w:r>
      <w:r w:rsidRPr="00B514AD">
        <w:rPr>
          <w:rFonts w:ascii="Arial" w:hAnsi="Arial" w:cs="Arial"/>
          <w:color w:val="231F20"/>
          <w:spacing w:val="46"/>
        </w:rPr>
        <w:t xml:space="preserve"> </w:t>
      </w:r>
      <w:r w:rsidRPr="00B514AD">
        <w:rPr>
          <w:rFonts w:ascii="Arial" w:hAnsi="Arial" w:cs="Arial"/>
          <w:color w:val="231F20"/>
        </w:rPr>
        <w:t xml:space="preserve">señalar los siguientes elementos, el Congreso tiene una amplia potestad legislativa, que le permite fijar, entre otras, las cláusulas de vigencia de </w:t>
      </w:r>
      <w:r w:rsidR="00B35D57" w:rsidRPr="00B514AD">
        <w:rPr>
          <w:rFonts w:ascii="Arial" w:hAnsi="Arial" w:cs="Arial"/>
          <w:color w:val="231F20"/>
        </w:rPr>
        <w:t>las leyes</w:t>
      </w:r>
      <w:r w:rsidRPr="00B514AD">
        <w:rPr>
          <w:rFonts w:ascii="Arial" w:hAnsi="Arial" w:cs="Arial"/>
          <w:color w:val="231F20"/>
        </w:rPr>
        <w:t>, pero este contenido, como cualquier otro contenido</w:t>
      </w:r>
      <w:r w:rsidRPr="00B514AD">
        <w:rPr>
          <w:rFonts w:ascii="Arial" w:hAnsi="Arial" w:cs="Arial"/>
          <w:color w:val="231F20"/>
          <w:spacing w:val="-11"/>
        </w:rPr>
        <w:t xml:space="preserve"> </w:t>
      </w:r>
      <w:r w:rsidRPr="00B514AD">
        <w:rPr>
          <w:rFonts w:ascii="Arial" w:hAnsi="Arial" w:cs="Arial"/>
          <w:color w:val="231F20"/>
        </w:rPr>
        <w:t>con</w:t>
      </w:r>
      <w:r w:rsidRPr="00B514AD">
        <w:rPr>
          <w:rFonts w:ascii="Arial" w:hAnsi="Arial" w:cs="Arial"/>
          <w:color w:val="231F20"/>
          <w:spacing w:val="-11"/>
        </w:rPr>
        <w:t xml:space="preserve"> </w:t>
      </w:r>
      <w:r w:rsidRPr="00B514AD">
        <w:rPr>
          <w:rFonts w:ascii="Arial" w:hAnsi="Arial" w:cs="Arial"/>
          <w:color w:val="231F20"/>
        </w:rPr>
        <w:t>fuerza</w:t>
      </w:r>
      <w:r w:rsidRPr="00B514AD">
        <w:rPr>
          <w:rFonts w:ascii="Arial" w:hAnsi="Arial" w:cs="Arial"/>
          <w:color w:val="231F20"/>
          <w:spacing w:val="-11"/>
        </w:rPr>
        <w:t xml:space="preserve"> </w:t>
      </w:r>
      <w:r w:rsidRPr="00B514AD">
        <w:rPr>
          <w:rFonts w:ascii="Arial" w:hAnsi="Arial" w:cs="Arial"/>
          <w:color w:val="231F20"/>
        </w:rPr>
        <w:t>material</w:t>
      </w:r>
      <w:r w:rsidRPr="00B514AD">
        <w:rPr>
          <w:rFonts w:ascii="Arial" w:hAnsi="Arial" w:cs="Arial"/>
          <w:color w:val="231F20"/>
          <w:spacing w:val="-10"/>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spacing w:val="-4"/>
        </w:rPr>
        <w:t>ley,</w:t>
      </w:r>
      <w:r w:rsidRPr="00B514AD">
        <w:rPr>
          <w:rFonts w:ascii="Arial" w:hAnsi="Arial" w:cs="Arial"/>
          <w:color w:val="231F20"/>
          <w:spacing w:val="-11"/>
        </w:rPr>
        <w:t xml:space="preserve"> </w:t>
      </w:r>
      <w:r w:rsidRPr="00B514AD">
        <w:rPr>
          <w:rFonts w:ascii="Arial" w:hAnsi="Arial" w:cs="Arial"/>
          <w:color w:val="231F20"/>
        </w:rPr>
        <w:t>está</w:t>
      </w:r>
      <w:r w:rsidRPr="00B514AD">
        <w:rPr>
          <w:rFonts w:ascii="Arial" w:hAnsi="Arial" w:cs="Arial"/>
          <w:color w:val="231F20"/>
          <w:spacing w:val="-11"/>
        </w:rPr>
        <w:t xml:space="preserve"> </w:t>
      </w:r>
      <w:r w:rsidRPr="00B514AD">
        <w:rPr>
          <w:rFonts w:ascii="Arial" w:hAnsi="Arial" w:cs="Arial"/>
          <w:color w:val="231F20"/>
        </w:rPr>
        <w:t>sujeto</w:t>
      </w:r>
      <w:r w:rsidRPr="00B514AD">
        <w:rPr>
          <w:rFonts w:ascii="Arial" w:hAnsi="Arial" w:cs="Arial"/>
          <w:color w:val="231F20"/>
          <w:spacing w:val="-10"/>
        </w:rPr>
        <w:t xml:space="preserve"> </w:t>
      </w:r>
      <w:r w:rsidRPr="00B514AD">
        <w:rPr>
          <w:rFonts w:ascii="Arial" w:hAnsi="Arial" w:cs="Arial"/>
          <w:color w:val="231F20"/>
        </w:rPr>
        <w:t>al control constitucional, tanto en sus dimensiones formales como en sus dimensiones</w:t>
      </w:r>
      <w:r w:rsidRPr="00B514AD">
        <w:rPr>
          <w:rFonts w:ascii="Arial" w:hAnsi="Arial" w:cs="Arial"/>
          <w:color w:val="231F20"/>
          <w:spacing w:val="30"/>
        </w:rPr>
        <w:t xml:space="preserve"> </w:t>
      </w:r>
      <w:r w:rsidRPr="00B514AD">
        <w:rPr>
          <w:rFonts w:ascii="Arial" w:hAnsi="Arial" w:cs="Arial"/>
          <w:color w:val="231F20"/>
        </w:rPr>
        <w:t>sustantivas.</w:t>
      </w:r>
    </w:p>
    <w:p w:rsidR="00EC5F4C" w:rsidRPr="00B514AD" w:rsidRDefault="00EC5F4C" w:rsidP="00017F19">
      <w:pPr>
        <w:pStyle w:val="Textoindependiente"/>
        <w:spacing w:before="88" w:line="223" w:lineRule="auto"/>
        <w:ind w:right="158" w:firstLine="283"/>
        <w:jc w:val="both"/>
        <w:rPr>
          <w:rFonts w:ascii="Arial" w:hAnsi="Arial" w:cs="Arial"/>
        </w:rPr>
      </w:pPr>
      <w:r w:rsidRPr="00B514AD">
        <w:rPr>
          <w:rFonts w:ascii="Arial" w:hAnsi="Arial" w:cs="Arial"/>
          <w:color w:val="231F20"/>
        </w:rPr>
        <w:t xml:space="preserve">Si bien los Actos Legislativos 01 de 2016 </w:t>
      </w:r>
      <w:r w:rsidR="00B35D57" w:rsidRPr="00B514AD">
        <w:rPr>
          <w:rFonts w:ascii="Arial" w:hAnsi="Arial" w:cs="Arial"/>
          <w:color w:val="231F20"/>
        </w:rPr>
        <w:t>y 02</w:t>
      </w:r>
      <w:r w:rsidRPr="00B514AD">
        <w:rPr>
          <w:rFonts w:ascii="Arial" w:hAnsi="Arial" w:cs="Arial"/>
          <w:color w:val="231F20"/>
        </w:rPr>
        <w:t xml:space="preserve"> de 2017 no mencionan </w:t>
      </w:r>
      <w:r w:rsidR="00B35D57" w:rsidRPr="00B514AD">
        <w:rPr>
          <w:rFonts w:ascii="Arial" w:hAnsi="Arial" w:cs="Arial"/>
          <w:color w:val="231F20"/>
        </w:rPr>
        <w:t>de manera expresa</w:t>
      </w:r>
      <w:r w:rsidRPr="00B514AD">
        <w:rPr>
          <w:rFonts w:ascii="Arial" w:hAnsi="Arial" w:cs="Arial"/>
          <w:color w:val="231F20"/>
        </w:rPr>
        <w:t xml:space="preserve"> los ajustes a la Ley 1448 de 2011</w:t>
      </w:r>
      <w:r w:rsidR="00EA7EAF">
        <w:rPr>
          <w:rFonts w:ascii="Arial" w:hAnsi="Arial" w:cs="Arial"/>
          <w:color w:val="231F20"/>
        </w:rPr>
        <w:t xml:space="preserve"> y a los Decretos Ley </w:t>
      </w:r>
      <w:r w:rsidR="00B4772B">
        <w:rPr>
          <w:rFonts w:ascii="Arial" w:hAnsi="Arial" w:cs="Arial"/>
          <w:color w:val="231F20"/>
        </w:rPr>
        <w:t>Étnicos,</w:t>
      </w:r>
      <w:r w:rsidRPr="00B514AD">
        <w:rPr>
          <w:rFonts w:ascii="Arial" w:hAnsi="Arial" w:cs="Arial"/>
          <w:color w:val="231F20"/>
        </w:rPr>
        <w:t xml:space="preserve"> es claro que existe un deber </w:t>
      </w:r>
      <w:r w:rsidR="002821CE">
        <w:rPr>
          <w:rFonts w:ascii="Arial" w:hAnsi="Arial" w:cs="Arial"/>
          <w:color w:val="231F20"/>
        </w:rPr>
        <w:t>e</w:t>
      </w:r>
      <w:r w:rsidRPr="00B514AD">
        <w:rPr>
          <w:rFonts w:ascii="Arial" w:hAnsi="Arial" w:cs="Arial"/>
          <w:color w:val="231F20"/>
        </w:rPr>
        <w:t>statal, derivado del deber</w:t>
      </w:r>
      <w:r w:rsidRPr="00B514AD">
        <w:rPr>
          <w:rFonts w:ascii="Arial" w:hAnsi="Arial" w:cs="Arial"/>
          <w:color w:val="231F20"/>
          <w:spacing w:val="42"/>
        </w:rPr>
        <w:t xml:space="preserve"> </w:t>
      </w:r>
      <w:r w:rsidRPr="00B514AD">
        <w:rPr>
          <w:rFonts w:ascii="Arial" w:hAnsi="Arial" w:cs="Arial"/>
          <w:color w:val="231F20"/>
        </w:rPr>
        <w:t xml:space="preserve">de cumplir de buena fe con los acuerdos, de realizar la revisión y el ajuste a la mencionada ley en orden a cumplir con los compromisos adquiridos en el acuerdo de paz. En esa medida, puede </w:t>
      </w:r>
      <w:r w:rsidRPr="00B514AD">
        <w:rPr>
          <w:rFonts w:ascii="Arial" w:hAnsi="Arial" w:cs="Arial"/>
          <w:color w:val="231F20"/>
        </w:rPr>
        <w:lastRenderedPageBreak/>
        <w:t>decirse que las víctimas tienen un derecho a que se discutan los ajustes necesarios a la Ley 1448 para fortalecer el esquema de reparación de las víctimas. Es claro que el Gobierno nacional tuvo la oportunidad de ajustar el marco normativo referenciado,</w:t>
      </w:r>
      <w:r w:rsidRPr="00B514AD">
        <w:rPr>
          <w:rFonts w:ascii="Arial" w:hAnsi="Arial" w:cs="Arial"/>
          <w:color w:val="231F20"/>
          <w:spacing w:val="-14"/>
        </w:rPr>
        <w:t xml:space="preserve"> </w:t>
      </w:r>
      <w:r w:rsidRPr="00B514AD">
        <w:rPr>
          <w:rFonts w:ascii="Arial" w:hAnsi="Arial" w:cs="Arial"/>
          <w:color w:val="231F20"/>
        </w:rPr>
        <w:t>a</w:t>
      </w:r>
      <w:r w:rsidRPr="00B514AD">
        <w:rPr>
          <w:rFonts w:ascii="Arial" w:hAnsi="Arial" w:cs="Arial"/>
          <w:color w:val="231F20"/>
          <w:spacing w:val="-12"/>
        </w:rPr>
        <w:t xml:space="preserve"> </w:t>
      </w:r>
      <w:r w:rsidRPr="00B514AD">
        <w:rPr>
          <w:rFonts w:ascii="Arial" w:hAnsi="Arial" w:cs="Arial"/>
          <w:color w:val="231F20"/>
        </w:rPr>
        <w:t>través</w:t>
      </w:r>
      <w:r w:rsidRPr="00B514AD">
        <w:rPr>
          <w:rFonts w:ascii="Arial" w:hAnsi="Arial" w:cs="Arial"/>
          <w:color w:val="231F20"/>
          <w:spacing w:val="-12"/>
        </w:rPr>
        <w:t xml:space="preserve"> </w:t>
      </w:r>
      <w:r w:rsidRPr="00B514AD">
        <w:rPr>
          <w:rFonts w:ascii="Arial" w:hAnsi="Arial" w:cs="Arial"/>
          <w:color w:val="231F20"/>
        </w:rPr>
        <w:t>del</w:t>
      </w:r>
      <w:r w:rsidRPr="00B514AD">
        <w:rPr>
          <w:rFonts w:ascii="Arial" w:hAnsi="Arial" w:cs="Arial"/>
          <w:color w:val="231F20"/>
          <w:spacing w:val="-13"/>
        </w:rPr>
        <w:t xml:space="preserve"> </w:t>
      </w:r>
      <w:r w:rsidRPr="00B514AD">
        <w:rPr>
          <w:rFonts w:ascii="Arial" w:hAnsi="Arial" w:cs="Arial"/>
          <w:color w:val="231F20"/>
        </w:rPr>
        <w:t>régimen</w:t>
      </w:r>
      <w:r w:rsidRPr="00B514AD">
        <w:rPr>
          <w:rFonts w:ascii="Arial" w:hAnsi="Arial" w:cs="Arial"/>
          <w:color w:val="231F20"/>
          <w:spacing w:val="-13"/>
        </w:rPr>
        <w:t xml:space="preserve"> </w:t>
      </w:r>
      <w:r w:rsidRPr="00B514AD">
        <w:rPr>
          <w:rFonts w:ascii="Arial" w:hAnsi="Arial" w:cs="Arial"/>
          <w:color w:val="231F20"/>
        </w:rPr>
        <w:t>del</w:t>
      </w:r>
      <w:r w:rsidRPr="00B514AD">
        <w:rPr>
          <w:rFonts w:ascii="Arial" w:hAnsi="Arial" w:cs="Arial"/>
          <w:color w:val="231F20"/>
          <w:spacing w:val="-14"/>
        </w:rPr>
        <w:t xml:space="preserve"> </w:t>
      </w:r>
      <w:r w:rsidRPr="00B514AD">
        <w:rPr>
          <w:rFonts w:ascii="Arial" w:hAnsi="Arial" w:cs="Arial"/>
          <w:color w:val="231F20"/>
        </w:rPr>
        <w:t>“</w:t>
      </w:r>
      <w:r w:rsidRPr="00B514AD">
        <w:rPr>
          <w:rFonts w:ascii="Arial" w:hAnsi="Arial" w:cs="Arial"/>
          <w:i/>
          <w:color w:val="231F20"/>
        </w:rPr>
        <w:t>fast</w:t>
      </w:r>
      <w:r w:rsidRPr="00B514AD">
        <w:rPr>
          <w:rFonts w:ascii="Arial" w:hAnsi="Arial" w:cs="Arial"/>
          <w:i/>
          <w:color w:val="231F20"/>
          <w:spacing w:val="-12"/>
        </w:rPr>
        <w:t xml:space="preserve"> </w:t>
      </w:r>
      <w:r w:rsidRPr="00B514AD">
        <w:rPr>
          <w:rFonts w:ascii="Arial" w:hAnsi="Arial" w:cs="Arial"/>
          <w:i/>
          <w:color w:val="231F20"/>
        </w:rPr>
        <w:t>track</w:t>
      </w:r>
      <w:r w:rsidRPr="00B514AD">
        <w:rPr>
          <w:rFonts w:ascii="Arial" w:hAnsi="Arial" w:cs="Arial"/>
          <w:color w:val="231F20"/>
        </w:rPr>
        <w:t>”, sin embargo, el no haberlo hecho a través de este mecanismo no lo exime de su deber de buena    fe de realizar estas discusiones; en todo caso la misma Ley 1448 de 2011 contempla el deber del Congreso de pronunciarse expresamente sobre el cumplimiento de</w:t>
      </w:r>
      <w:r w:rsidRPr="00B514AD">
        <w:rPr>
          <w:rFonts w:ascii="Arial" w:hAnsi="Arial" w:cs="Arial"/>
          <w:color w:val="231F20"/>
          <w:spacing w:val="4"/>
        </w:rPr>
        <w:t xml:space="preserve"> </w:t>
      </w:r>
      <w:r w:rsidRPr="00B514AD">
        <w:rPr>
          <w:rFonts w:ascii="Arial" w:hAnsi="Arial" w:cs="Arial"/>
          <w:color w:val="231F20"/>
        </w:rPr>
        <w:t>esta.</w:t>
      </w:r>
    </w:p>
    <w:p w:rsidR="00017F19" w:rsidRPr="00B514AD" w:rsidRDefault="00EC5F4C" w:rsidP="00017F19">
      <w:pPr>
        <w:pStyle w:val="Textoindependiente"/>
        <w:spacing w:before="99" w:line="230" w:lineRule="auto"/>
        <w:ind w:right="38"/>
        <w:jc w:val="both"/>
        <w:rPr>
          <w:rFonts w:ascii="Arial" w:hAnsi="Arial" w:cs="Arial"/>
        </w:rPr>
      </w:pPr>
      <w:r w:rsidRPr="00B514AD">
        <w:rPr>
          <w:rFonts w:ascii="Arial" w:hAnsi="Arial" w:cs="Arial"/>
          <w:color w:val="231F20"/>
        </w:rPr>
        <w:t xml:space="preserve">En principio, las normas que establecen la vigencia de una ley no deberían considerarse regresivas </w:t>
      </w:r>
      <w:r w:rsidRPr="00B514AD">
        <w:rPr>
          <w:rFonts w:ascii="Arial" w:hAnsi="Arial" w:cs="Arial"/>
          <w:i/>
          <w:color w:val="231F20"/>
        </w:rPr>
        <w:t xml:space="preserve">per </w:t>
      </w:r>
      <w:r w:rsidRPr="00B514AD">
        <w:rPr>
          <w:rFonts w:ascii="Arial" w:hAnsi="Arial" w:cs="Arial"/>
          <w:color w:val="231F20"/>
        </w:rPr>
        <w:t>se, sin embargo, esta regla no es absoluta y debe evaluarse en el caso concreto, pues las normas que establecen una vigencia</w:t>
      </w:r>
      <w:r w:rsidR="00017F19" w:rsidRPr="00B514AD">
        <w:rPr>
          <w:rFonts w:ascii="Arial" w:hAnsi="Arial" w:cs="Arial"/>
          <w:color w:val="231F20"/>
        </w:rPr>
        <w:t xml:space="preserve"> limitada en el tiempo podrían llegar a tener efectos regresivos sobre </w:t>
      </w:r>
      <w:r w:rsidR="00B35D57" w:rsidRPr="00B514AD">
        <w:rPr>
          <w:rFonts w:ascii="Arial" w:hAnsi="Arial" w:cs="Arial"/>
          <w:color w:val="231F20"/>
        </w:rPr>
        <w:t>poblaciones concretas</w:t>
      </w:r>
      <w:r w:rsidR="00017F19" w:rsidRPr="00B514AD">
        <w:rPr>
          <w:rFonts w:ascii="Arial" w:hAnsi="Arial" w:cs="Arial"/>
          <w:color w:val="231F20"/>
        </w:rPr>
        <w:t xml:space="preserve"> en estado de vulnerabilidad. </w:t>
      </w:r>
      <w:r w:rsidR="00017F19" w:rsidRPr="00B514AD">
        <w:rPr>
          <w:rFonts w:ascii="Arial" w:hAnsi="Arial" w:cs="Arial"/>
          <w:color w:val="231F20"/>
          <w:spacing w:val="-5"/>
        </w:rPr>
        <w:t xml:space="preserve">Tal </w:t>
      </w:r>
      <w:r w:rsidR="00017F19" w:rsidRPr="00B514AD">
        <w:rPr>
          <w:rFonts w:ascii="Arial" w:hAnsi="Arial" w:cs="Arial"/>
          <w:color w:val="231F20"/>
        </w:rPr>
        <w:t>es el caso de la norma de vigencia de la Ley 1448, que si bien fue pensada para tener una duración temporal como un instrumento de justicia transicional</w:t>
      </w:r>
      <w:r w:rsidR="00B514AD" w:rsidRPr="00B514AD">
        <w:rPr>
          <w:rStyle w:val="Refdenotaalpie"/>
          <w:rFonts w:ascii="Arial" w:hAnsi="Arial" w:cs="Arial"/>
          <w:color w:val="231F20"/>
        </w:rPr>
        <w:footnoteReference w:id="16"/>
      </w:r>
      <w:r w:rsidR="00017F19" w:rsidRPr="00B514AD">
        <w:rPr>
          <w:rFonts w:ascii="Arial" w:hAnsi="Arial" w:cs="Arial"/>
          <w:color w:val="231F20"/>
        </w:rPr>
        <w:t>, con su desaparición tiene efectos regresivos para la población víctima, en términos de acceso</w:t>
      </w:r>
      <w:r w:rsidR="00017F19" w:rsidRPr="00B514AD">
        <w:rPr>
          <w:rFonts w:ascii="Arial" w:hAnsi="Arial" w:cs="Arial"/>
          <w:color w:val="231F20"/>
          <w:spacing w:val="40"/>
        </w:rPr>
        <w:t xml:space="preserve"> </w:t>
      </w:r>
      <w:r w:rsidR="00017F19" w:rsidRPr="00B514AD">
        <w:rPr>
          <w:rFonts w:ascii="Arial" w:hAnsi="Arial" w:cs="Arial"/>
          <w:color w:val="231F20"/>
        </w:rPr>
        <w:t>a derechos</w:t>
      </w:r>
      <w:r w:rsidR="00017F19" w:rsidRPr="00B514AD">
        <w:rPr>
          <w:rFonts w:ascii="Arial" w:hAnsi="Arial" w:cs="Arial"/>
          <w:color w:val="231F20"/>
          <w:spacing w:val="46"/>
        </w:rPr>
        <w:t xml:space="preserve"> </w:t>
      </w:r>
      <w:r w:rsidR="00017F19" w:rsidRPr="00B514AD">
        <w:rPr>
          <w:rFonts w:ascii="Arial" w:hAnsi="Arial" w:cs="Arial"/>
          <w:color w:val="231F20"/>
        </w:rPr>
        <w:t>como</w:t>
      </w:r>
      <w:r w:rsidR="00017F19" w:rsidRPr="00B514AD">
        <w:rPr>
          <w:rFonts w:ascii="Arial" w:hAnsi="Arial" w:cs="Arial"/>
          <w:color w:val="231F20"/>
          <w:spacing w:val="47"/>
        </w:rPr>
        <w:t xml:space="preserve"> </w:t>
      </w:r>
      <w:r w:rsidR="00017F19" w:rsidRPr="00B514AD">
        <w:rPr>
          <w:rFonts w:ascii="Arial" w:hAnsi="Arial" w:cs="Arial"/>
          <w:color w:val="231F20"/>
        </w:rPr>
        <w:t>el</w:t>
      </w:r>
      <w:r w:rsidR="00017F19" w:rsidRPr="00B514AD">
        <w:rPr>
          <w:rFonts w:ascii="Arial" w:hAnsi="Arial" w:cs="Arial"/>
          <w:color w:val="231F20"/>
          <w:spacing w:val="46"/>
        </w:rPr>
        <w:t xml:space="preserve"> </w:t>
      </w:r>
      <w:r w:rsidR="00017F19" w:rsidRPr="00B514AD">
        <w:rPr>
          <w:rFonts w:ascii="Arial" w:hAnsi="Arial" w:cs="Arial"/>
          <w:color w:val="231F20"/>
        </w:rPr>
        <w:t>de</w:t>
      </w:r>
      <w:r w:rsidR="00017F19" w:rsidRPr="00B514AD">
        <w:rPr>
          <w:rFonts w:ascii="Arial" w:hAnsi="Arial" w:cs="Arial"/>
          <w:color w:val="231F20"/>
          <w:spacing w:val="46"/>
        </w:rPr>
        <w:t xml:space="preserve"> </w:t>
      </w:r>
      <w:r w:rsidR="00017F19" w:rsidRPr="00B514AD">
        <w:rPr>
          <w:rFonts w:ascii="Arial" w:hAnsi="Arial" w:cs="Arial"/>
          <w:color w:val="231F20"/>
        </w:rPr>
        <w:t>la</w:t>
      </w:r>
      <w:r w:rsidR="00017F19" w:rsidRPr="00B514AD">
        <w:rPr>
          <w:rFonts w:ascii="Arial" w:hAnsi="Arial" w:cs="Arial"/>
          <w:color w:val="231F20"/>
          <w:spacing w:val="47"/>
        </w:rPr>
        <w:t xml:space="preserve"> </w:t>
      </w:r>
      <w:r w:rsidR="00017F19" w:rsidRPr="00B514AD">
        <w:rPr>
          <w:rFonts w:ascii="Arial" w:hAnsi="Arial" w:cs="Arial"/>
          <w:color w:val="231F20"/>
        </w:rPr>
        <w:t>participación,</w:t>
      </w:r>
      <w:r w:rsidR="00017F19" w:rsidRPr="00B514AD">
        <w:rPr>
          <w:rFonts w:ascii="Arial" w:hAnsi="Arial" w:cs="Arial"/>
          <w:color w:val="231F20"/>
          <w:spacing w:val="46"/>
        </w:rPr>
        <w:t xml:space="preserve"> </w:t>
      </w:r>
      <w:r w:rsidR="00017F19" w:rsidRPr="00B514AD">
        <w:rPr>
          <w:rFonts w:ascii="Arial" w:hAnsi="Arial" w:cs="Arial"/>
          <w:color w:val="231F20"/>
        </w:rPr>
        <w:t>la</w:t>
      </w:r>
      <w:r w:rsidR="00017F19" w:rsidRPr="00B514AD">
        <w:rPr>
          <w:rFonts w:ascii="Arial" w:hAnsi="Arial" w:cs="Arial"/>
          <w:color w:val="231F20"/>
          <w:spacing w:val="47"/>
        </w:rPr>
        <w:t xml:space="preserve"> </w:t>
      </w:r>
      <w:r w:rsidR="00017F19" w:rsidRPr="00B514AD">
        <w:rPr>
          <w:rFonts w:ascii="Arial" w:hAnsi="Arial" w:cs="Arial"/>
          <w:color w:val="231F20"/>
        </w:rPr>
        <w:t>ayuda humanitaria, incluso el registro, al no haber cumplido cabalmente con estos objetivos y en</w:t>
      </w:r>
      <w:r w:rsidR="00017F19" w:rsidRPr="00B514AD">
        <w:rPr>
          <w:rFonts w:ascii="Arial" w:hAnsi="Arial" w:cs="Arial"/>
          <w:color w:val="231F20"/>
          <w:spacing w:val="-17"/>
        </w:rPr>
        <w:t xml:space="preserve"> </w:t>
      </w:r>
      <w:r w:rsidR="00017F19" w:rsidRPr="00B514AD">
        <w:rPr>
          <w:rFonts w:ascii="Arial" w:hAnsi="Arial" w:cs="Arial"/>
          <w:color w:val="231F20"/>
        </w:rPr>
        <w:t>ese sentido, ante la permanencia de las circunstancias de vulnerabilidad de las</w:t>
      </w:r>
      <w:r w:rsidR="00017F19" w:rsidRPr="00B514AD">
        <w:rPr>
          <w:rFonts w:ascii="Arial" w:hAnsi="Arial" w:cs="Arial"/>
          <w:color w:val="231F20"/>
          <w:spacing w:val="11"/>
        </w:rPr>
        <w:t xml:space="preserve"> </w:t>
      </w:r>
      <w:r w:rsidR="00017F19" w:rsidRPr="00B514AD">
        <w:rPr>
          <w:rFonts w:ascii="Arial" w:hAnsi="Arial" w:cs="Arial"/>
          <w:color w:val="231F20"/>
        </w:rPr>
        <w:t>víctimas.</w:t>
      </w:r>
    </w:p>
    <w:p w:rsidR="00017F19" w:rsidRPr="00B514AD" w:rsidRDefault="00017F19" w:rsidP="00017F19">
      <w:pPr>
        <w:pStyle w:val="Textoindependiente"/>
        <w:spacing w:before="82" w:line="235" w:lineRule="auto"/>
        <w:ind w:right="38" w:firstLine="283"/>
        <w:jc w:val="both"/>
        <w:rPr>
          <w:rFonts w:ascii="Arial" w:hAnsi="Arial" w:cs="Arial"/>
        </w:rPr>
      </w:pPr>
      <w:r w:rsidRPr="00B514AD">
        <w:rPr>
          <w:rFonts w:ascii="Arial" w:hAnsi="Arial" w:cs="Arial"/>
          <w:color w:val="231F20"/>
        </w:rPr>
        <w:t xml:space="preserve">El Congreso es quien está llamado a reglamentar la materia, en términos </w:t>
      </w:r>
      <w:r w:rsidR="00B35D57" w:rsidRPr="00B514AD">
        <w:rPr>
          <w:rFonts w:ascii="Arial" w:hAnsi="Arial" w:cs="Arial"/>
          <w:color w:val="231F20"/>
        </w:rPr>
        <w:t>de definir</w:t>
      </w:r>
      <w:r w:rsidRPr="00B514AD">
        <w:rPr>
          <w:rFonts w:ascii="Arial" w:hAnsi="Arial" w:cs="Arial"/>
          <w:color w:val="231F20"/>
        </w:rPr>
        <w:t xml:space="preserve"> las adecuaciones necesarias a la Ley 1448, en cumplimiento de sus deberes de buena fe y de discutir expresamente si se han cumplido los derechos garantizados por la Ley 1448 y en qué medida lo han sido. De esta forma el Congreso de la República debe pronunciarse expresamente sobre la ampliación </w:t>
      </w:r>
      <w:r w:rsidR="00B35D57" w:rsidRPr="00B514AD">
        <w:rPr>
          <w:rFonts w:ascii="Arial" w:hAnsi="Arial" w:cs="Arial"/>
          <w:color w:val="231F20"/>
        </w:rPr>
        <w:t>de vigencia de la ley y del</w:t>
      </w:r>
      <w:r w:rsidRPr="00B514AD">
        <w:rPr>
          <w:rFonts w:ascii="Arial" w:hAnsi="Arial" w:cs="Arial"/>
          <w:color w:val="231F20"/>
        </w:rPr>
        <w:t xml:space="preserve"> cumplimiento de su deber de buena fe de revisar la Ley 1448, advirtiendo en </w:t>
      </w:r>
      <w:r w:rsidR="00B35D57" w:rsidRPr="00B514AD">
        <w:rPr>
          <w:rFonts w:ascii="Arial" w:hAnsi="Arial" w:cs="Arial"/>
          <w:color w:val="231F20"/>
        </w:rPr>
        <w:t>todo caso</w:t>
      </w:r>
      <w:r w:rsidRPr="00B514AD">
        <w:rPr>
          <w:rFonts w:ascii="Arial" w:hAnsi="Arial" w:cs="Arial"/>
          <w:color w:val="231F20"/>
        </w:rPr>
        <w:t xml:space="preserve"> que tales ajustes deben cumplir el principio de progresividad y no</w:t>
      </w:r>
      <w:r w:rsidRPr="00B514AD">
        <w:rPr>
          <w:rFonts w:ascii="Arial" w:hAnsi="Arial" w:cs="Arial"/>
          <w:color w:val="231F20"/>
          <w:spacing w:val="8"/>
        </w:rPr>
        <w:t xml:space="preserve"> </w:t>
      </w:r>
      <w:r w:rsidRPr="00B514AD">
        <w:rPr>
          <w:rFonts w:ascii="Arial" w:hAnsi="Arial" w:cs="Arial"/>
          <w:color w:val="231F20"/>
        </w:rPr>
        <w:t>regresividad.</w:t>
      </w:r>
    </w:p>
    <w:p w:rsidR="00017F19" w:rsidRPr="00B514AD" w:rsidRDefault="00017F19" w:rsidP="00017F19">
      <w:pPr>
        <w:pStyle w:val="Textoindependiente"/>
        <w:spacing w:before="76" w:line="235" w:lineRule="auto"/>
        <w:ind w:right="38" w:firstLine="283"/>
        <w:jc w:val="both"/>
        <w:rPr>
          <w:rFonts w:ascii="Arial" w:hAnsi="Arial" w:cs="Arial"/>
        </w:rPr>
      </w:pPr>
      <w:r w:rsidRPr="00B514AD">
        <w:rPr>
          <w:rFonts w:ascii="Arial" w:hAnsi="Arial" w:cs="Arial"/>
          <w:color w:val="231F20"/>
        </w:rPr>
        <w:t>A partir de lo anteriormente mencionado y a dos años de finalizar la vigencia de la Ley 1448 de 2011, consideramos necesario, ampliar por 10 años más el término consignado en la ley</w:t>
      </w:r>
      <w:r w:rsidR="00EA7EAF">
        <w:rPr>
          <w:rFonts w:ascii="Arial" w:hAnsi="Arial" w:cs="Arial"/>
          <w:color w:val="231F20"/>
        </w:rPr>
        <w:t xml:space="preserve"> y en los decretos ley </w:t>
      </w:r>
      <w:r w:rsidR="00B4772B">
        <w:rPr>
          <w:rFonts w:ascii="Arial" w:hAnsi="Arial" w:cs="Arial"/>
          <w:color w:val="231F20"/>
        </w:rPr>
        <w:t>étnicos</w:t>
      </w:r>
      <w:r w:rsidRPr="00B514AD">
        <w:rPr>
          <w:rFonts w:ascii="Arial" w:hAnsi="Arial" w:cs="Arial"/>
          <w:color w:val="231F20"/>
        </w:rPr>
        <w:t>. Puesto que, si aún hoy se lograra solucionar las 5 causas expuestas en el Plan de Desarrollo, no se lograría cumplir sino con cerca de un 16% de las víctimas registradas por la Unidad de Víctimas.</w:t>
      </w:r>
    </w:p>
    <w:p w:rsidR="00953CE8" w:rsidRPr="00B514AD" w:rsidRDefault="00017F19" w:rsidP="00953CE8">
      <w:pPr>
        <w:pStyle w:val="Textoindependiente"/>
        <w:spacing w:before="89"/>
        <w:ind w:right="158" w:firstLine="283"/>
        <w:jc w:val="both"/>
        <w:rPr>
          <w:rFonts w:ascii="Arial" w:hAnsi="Arial" w:cs="Arial"/>
          <w:color w:val="231F20"/>
        </w:rPr>
      </w:pPr>
      <w:r w:rsidRPr="00B514AD">
        <w:rPr>
          <w:rFonts w:ascii="Arial" w:hAnsi="Arial" w:cs="Arial"/>
          <w:color w:val="231F20"/>
        </w:rPr>
        <w:t xml:space="preserve">Considerando la importancia del papel de las víctimas en la construcción de una paz estable </w:t>
      </w:r>
      <w:r w:rsidRPr="00B514AD">
        <w:rPr>
          <w:rFonts w:ascii="Arial" w:hAnsi="Arial" w:cs="Arial"/>
          <w:i/>
          <w:color w:val="231F20"/>
        </w:rPr>
        <w:t xml:space="preserve">y </w:t>
      </w:r>
      <w:r w:rsidR="002821CE">
        <w:rPr>
          <w:rFonts w:ascii="Arial" w:hAnsi="Arial" w:cs="Arial"/>
          <w:color w:val="231F20"/>
        </w:rPr>
        <w:t>duradera, los invitamos</w:t>
      </w:r>
      <w:r w:rsidRPr="00B514AD">
        <w:rPr>
          <w:rFonts w:ascii="Arial" w:hAnsi="Arial" w:cs="Arial"/>
          <w:color w:val="231F20"/>
        </w:rPr>
        <w:t xml:space="preserve"> a acompañar esta iniciativa para así lograr alcanzar el anhelo de las víctimas y cerrar las heridas que ponen en riesgo la</w:t>
      </w:r>
      <w:r w:rsidRPr="00B514AD">
        <w:rPr>
          <w:rFonts w:ascii="Arial" w:hAnsi="Arial" w:cs="Arial"/>
          <w:color w:val="231F20"/>
          <w:spacing w:val="39"/>
        </w:rPr>
        <w:t xml:space="preserve"> </w:t>
      </w:r>
      <w:r w:rsidRPr="00B514AD">
        <w:rPr>
          <w:rFonts w:ascii="Arial" w:hAnsi="Arial" w:cs="Arial"/>
          <w:color w:val="231F20"/>
        </w:rPr>
        <w:t>paz.</w:t>
      </w:r>
    </w:p>
    <w:p w:rsidR="00953CE8" w:rsidRPr="00B514AD" w:rsidRDefault="00953CE8" w:rsidP="00953CE8">
      <w:pPr>
        <w:pStyle w:val="Textoindependiente"/>
        <w:spacing w:before="89"/>
        <w:ind w:right="158" w:firstLine="283"/>
        <w:jc w:val="both"/>
        <w:rPr>
          <w:rFonts w:ascii="Arial" w:hAnsi="Arial" w:cs="Arial"/>
          <w:color w:val="231F20"/>
        </w:rPr>
      </w:pPr>
    </w:p>
    <w:p w:rsidR="00953CE8" w:rsidRPr="00B514AD" w:rsidRDefault="00953CE8" w:rsidP="00953CE8">
      <w:pPr>
        <w:pStyle w:val="Textoindependiente"/>
        <w:spacing w:before="89"/>
        <w:ind w:right="158" w:firstLine="283"/>
        <w:jc w:val="both"/>
        <w:rPr>
          <w:rFonts w:ascii="Arial" w:hAnsi="Arial" w:cs="Arial"/>
          <w:b/>
          <w:color w:val="231F20"/>
        </w:rPr>
      </w:pPr>
      <w:r w:rsidRPr="00B514AD">
        <w:rPr>
          <w:rFonts w:ascii="Arial" w:hAnsi="Arial" w:cs="Arial"/>
          <w:b/>
          <w:color w:val="231F20"/>
        </w:rPr>
        <w:t>Consideraciones del ponente</w:t>
      </w:r>
    </w:p>
    <w:p w:rsidR="00953CE8" w:rsidRPr="00B514AD" w:rsidRDefault="00953CE8" w:rsidP="00953CE8">
      <w:pPr>
        <w:pStyle w:val="Textoindependiente"/>
        <w:spacing w:before="89"/>
        <w:ind w:right="158" w:firstLine="283"/>
        <w:jc w:val="both"/>
        <w:rPr>
          <w:rFonts w:ascii="Arial" w:hAnsi="Arial" w:cs="Arial"/>
          <w:color w:val="231F20"/>
        </w:rPr>
      </w:pPr>
    </w:p>
    <w:p w:rsidR="00953CE8" w:rsidRPr="00B514AD" w:rsidRDefault="00953CE8" w:rsidP="00953CE8">
      <w:pPr>
        <w:pStyle w:val="Textoindependiente"/>
        <w:spacing w:before="89"/>
        <w:ind w:right="158" w:firstLine="283"/>
        <w:jc w:val="both"/>
        <w:rPr>
          <w:rFonts w:ascii="Arial" w:hAnsi="Arial" w:cs="Arial"/>
        </w:rPr>
      </w:pPr>
      <w:r w:rsidRPr="00B514AD">
        <w:rPr>
          <w:rFonts w:ascii="Arial" w:hAnsi="Arial" w:cs="Arial"/>
        </w:rPr>
        <w:t>Se manifiesta cierto grado de consenso sobre la necesidad de ampliar la Ley 1448 de 2011, por al menos dos razones por un lado la existencia de dos proyectos de Ley en el mismo sentido. Por un lado, el proyecto de Ley el 272 de 2019</w:t>
      </w:r>
      <w:r w:rsidR="005150A9">
        <w:rPr>
          <w:rFonts w:ascii="Arial" w:hAnsi="Arial" w:cs="Arial"/>
        </w:rPr>
        <w:t xml:space="preserve"> Cámara</w:t>
      </w:r>
      <w:r w:rsidRPr="00B514AD">
        <w:rPr>
          <w:rFonts w:ascii="Arial" w:hAnsi="Arial" w:cs="Arial"/>
        </w:rPr>
        <w:t xml:space="preserve"> (radicado por integrantes del partido Centro De</w:t>
      </w:r>
      <w:r w:rsidR="00945315">
        <w:rPr>
          <w:rFonts w:ascii="Arial" w:hAnsi="Arial" w:cs="Arial"/>
        </w:rPr>
        <w:t xml:space="preserve">mocrático) y el </w:t>
      </w:r>
      <w:r w:rsidR="00A65DA3">
        <w:rPr>
          <w:rFonts w:ascii="Arial" w:hAnsi="Arial" w:cs="Arial"/>
        </w:rPr>
        <w:t xml:space="preserve">Proyecto de Ley 247 de 2019 Cámara </w:t>
      </w:r>
      <w:r w:rsidRPr="00B514AD">
        <w:rPr>
          <w:rFonts w:ascii="Arial" w:hAnsi="Arial" w:cs="Arial"/>
        </w:rPr>
        <w:t>(</w:t>
      </w:r>
      <w:r w:rsidR="003B3176">
        <w:rPr>
          <w:rFonts w:ascii="Arial" w:hAnsi="Arial" w:cs="Arial"/>
        </w:rPr>
        <w:t>acumulado</w:t>
      </w:r>
      <w:r w:rsidR="002821CE">
        <w:rPr>
          <w:rFonts w:ascii="Arial" w:hAnsi="Arial" w:cs="Arial"/>
        </w:rPr>
        <w:t xml:space="preserve"> con el PL 199 del 2019 </w:t>
      </w:r>
      <w:r w:rsidR="003B3176">
        <w:rPr>
          <w:rFonts w:ascii="Arial" w:hAnsi="Arial" w:cs="Arial"/>
        </w:rPr>
        <w:t>Cámara</w:t>
      </w:r>
      <w:r w:rsidRPr="00B514AD">
        <w:rPr>
          <w:rFonts w:ascii="Arial" w:hAnsi="Arial" w:cs="Arial"/>
        </w:rPr>
        <w:t xml:space="preserve">), aunque este último </w:t>
      </w:r>
      <w:r w:rsidRPr="00B514AD">
        <w:rPr>
          <w:rFonts w:ascii="Arial" w:hAnsi="Arial" w:cs="Arial"/>
        </w:rPr>
        <w:lastRenderedPageBreak/>
        <w:t>incluye además de la ampliación de la Ley de Víctimas y de restitución de Tierras la de los Decretos Ley con enfoque diferencial (Decreto Ley 4633 de 2011, Decreto Ley 4635 de 2011 y el Decreto Ley 4634 de 2011). De la misma manera es importante destacar que e</w:t>
      </w:r>
      <w:r w:rsidR="002821CE">
        <w:rPr>
          <w:rFonts w:ascii="Arial" w:hAnsi="Arial" w:cs="Arial"/>
        </w:rPr>
        <w:t>l</w:t>
      </w:r>
      <w:r w:rsidRPr="00B514AD">
        <w:rPr>
          <w:rFonts w:ascii="Arial" w:hAnsi="Arial" w:cs="Arial"/>
        </w:rPr>
        <w:t xml:space="preserve"> día 11 de octubre, y tras una audiencia en la Corte Constitucional en la que se debatía el impacto de la perdida de vigencia de la Ley 1448 de 2011 sobre los derechos de las Víctimas, el presidente Iván Duque anuncio públicamente su</w:t>
      </w:r>
      <w:r w:rsidR="002279F9">
        <w:rPr>
          <w:rFonts w:ascii="Arial" w:hAnsi="Arial" w:cs="Arial"/>
        </w:rPr>
        <w:t xml:space="preserve"> </w:t>
      </w:r>
      <w:r w:rsidRPr="00B514AD">
        <w:rPr>
          <w:rFonts w:ascii="Arial" w:hAnsi="Arial" w:cs="Arial"/>
        </w:rPr>
        <w:t>intención de buscar la prórroga de la Ley 1448</w:t>
      </w:r>
      <w:r w:rsidRPr="00B514AD">
        <w:rPr>
          <w:rStyle w:val="Refdenotaalpie"/>
          <w:rFonts w:ascii="Arial" w:hAnsi="Arial" w:cs="Arial"/>
        </w:rPr>
        <w:footnoteReference w:id="17"/>
      </w:r>
    </w:p>
    <w:p w:rsidR="00953CE8" w:rsidRPr="00B514AD" w:rsidRDefault="00953CE8" w:rsidP="00953CE8">
      <w:pPr>
        <w:pStyle w:val="Textoindependiente"/>
        <w:spacing w:before="89"/>
        <w:ind w:right="158" w:firstLine="283"/>
        <w:jc w:val="both"/>
        <w:rPr>
          <w:rFonts w:ascii="Arial" w:hAnsi="Arial" w:cs="Arial"/>
        </w:rPr>
      </w:pPr>
    </w:p>
    <w:p w:rsidR="00953CE8" w:rsidRPr="00B514AD" w:rsidRDefault="00953CE8" w:rsidP="00953CE8">
      <w:pPr>
        <w:pStyle w:val="Textoindependiente"/>
        <w:spacing w:before="89"/>
        <w:ind w:right="158" w:firstLine="283"/>
        <w:jc w:val="both"/>
        <w:rPr>
          <w:rFonts w:ascii="Arial" w:hAnsi="Arial" w:cs="Arial"/>
        </w:rPr>
      </w:pPr>
      <w:r w:rsidRPr="00B514AD">
        <w:rPr>
          <w:rFonts w:ascii="Arial" w:hAnsi="Arial" w:cs="Arial"/>
        </w:rPr>
        <w:t>Con lo anterior en consideración es importante destacar que en su momento la expedición de la Ley 1448 fue vista como un importante avance para la Consolidación de los derechos de las víctimas</w:t>
      </w:r>
      <w:r w:rsidRPr="00B514AD">
        <w:rPr>
          <w:rStyle w:val="Refdenotaalpie"/>
          <w:rFonts w:ascii="Arial" w:hAnsi="Arial" w:cs="Arial"/>
        </w:rPr>
        <w:footnoteReference w:id="18"/>
      </w:r>
      <w:r w:rsidRPr="00B514AD">
        <w:rPr>
          <w:rFonts w:ascii="Arial" w:hAnsi="Arial" w:cs="Arial"/>
        </w:rPr>
        <w:t xml:space="preserve">. La Ley 1448 busco integrar en un gran sistema todos los planes y programas existentes, así como unificar y estandarizar criterios y procedimientos con el fin de lograr mayor cobertura, eficacia e impacto de la atención y la reparación a las víctimas de violaciones de derechos humanos e infracciones al Derecho Internacional Humanitario (DIH). Así mismo, la Ley 1448 produjo un cambio en la relación entre la víctima y el Estado a partir del reconocimiento de las víctimas y de las </w:t>
      </w:r>
      <w:r w:rsidR="003B3176" w:rsidRPr="00B514AD">
        <w:rPr>
          <w:rFonts w:ascii="Arial" w:hAnsi="Arial" w:cs="Arial"/>
        </w:rPr>
        <w:t>violaciones</w:t>
      </w:r>
      <w:r w:rsidR="003B3176">
        <w:rPr>
          <w:rFonts w:ascii="Arial" w:hAnsi="Arial" w:cs="Arial"/>
        </w:rPr>
        <w:t>.</w:t>
      </w:r>
    </w:p>
    <w:p w:rsidR="00953CE8" w:rsidRPr="00B514AD" w:rsidRDefault="00953CE8" w:rsidP="00953CE8">
      <w:pPr>
        <w:pStyle w:val="Textoindependiente"/>
        <w:spacing w:before="89"/>
        <w:ind w:right="158" w:firstLine="283"/>
        <w:jc w:val="both"/>
        <w:rPr>
          <w:rFonts w:ascii="Arial" w:hAnsi="Arial" w:cs="Arial"/>
        </w:rPr>
      </w:pPr>
    </w:p>
    <w:p w:rsidR="00953CE8" w:rsidRPr="00B514AD" w:rsidRDefault="00953CE8" w:rsidP="00953CE8">
      <w:pPr>
        <w:pStyle w:val="Textoindependiente"/>
        <w:spacing w:before="89"/>
        <w:ind w:right="158" w:firstLine="283"/>
        <w:jc w:val="both"/>
        <w:rPr>
          <w:rFonts w:ascii="Arial" w:hAnsi="Arial" w:cs="Arial"/>
          <w:color w:val="231F20"/>
        </w:rPr>
      </w:pPr>
      <w:r w:rsidRPr="00B514AD">
        <w:rPr>
          <w:rFonts w:ascii="Arial" w:hAnsi="Arial" w:cs="Arial"/>
        </w:rPr>
        <w:t>Sin embargo, a día de hoy la implementación de la Ley 1448 de 2011 sigue sin lograrse de manera efectiva, para el efecto simplemente queremos resaltar los siguientes elementos identificados por los órganos de control en su sexto informe de seguimiento a la Ley 1448:</w:t>
      </w:r>
    </w:p>
    <w:p w:rsidR="00953CE8" w:rsidRPr="00B514AD" w:rsidRDefault="00953CE8" w:rsidP="00017F19">
      <w:pPr>
        <w:pStyle w:val="Textoindependiente"/>
        <w:spacing w:before="89"/>
        <w:ind w:right="158" w:firstLine="283"/>
        <w:jc w:val="both"/>
        <w:rPr>
          <w:rFonts w:ascii="Arial" w:hAnsi="Arial" w:cs="Arial"/>
        </w:rPr>
      </w:pPr>
    </w:p>
    <w:p w:rsidR="00EA5CC2" w:rsidRPr="00B514AD" w:rsidRDefault="00953CE8" w:rsidP="00953CE8">
      <w:pPr>
        <w:pStyle w:val="Textoindependiente"/>
        <w:numPr>
          <w:ilvl w:val="0"/>
          <w:numId w:val="47"/>
        </w:numPr>
        <w:spacing w:before="89"/>
        <w:ind w:right="158"/>
        <w:jc w:val="both"/>
        <w:rPr>
          <w:rFonts w:ascii="Arial" w:hAnsi="Arial" w:cs="Arial"/>
        </w:rPr>
      </w:pPr>
      <w:r w:rsidRPr="00B514AD">
        <w:rPr>
          <w:rFonts w:ascii="Arial" w:hAnsi="Arial" w:cs="Arial"/>
        </w:rPr>
        <w:t xml:space="preserve">En materia de rehabilitación a través del Programa de Atención Psicosocial y Salud Integral y la Estrategia de Recuperación Emocional tenemos que: De la meta acumulada de 480.000 víctimas atendidas en el cuatrienio, el Gobierno Nacional reporta que atendió a 530.670 con corte a 31 de diciembre de 2018, lo que corresponde a una ejecución del 111%. Ahora bien, si la cifra de 530.670 personas con atención psicosocial reportadas por el Gobierno Nacional se compara con la meta definida en el CONPES 3726 de 913.000 para el año 2021, se puede afirmar que faltando 23 meses para que se termine la vigencia de la Ley 1448 de 2011, el resultado de implementación de este indicador es del 58%. Ahora, si se </w:t>
      </w:r>
      <w:r w:rsidR="00B35D57" w:rsidRPr="00B514AD">
        <w:rPr>
          <w:rFonts w:ascii="Arial" w:hAnsi="Arial" w:cs="Arial"/>
        </w:rPr>
        <w:t>contrasta con</w:t>
      </w:r>
      <w:r w:rsidRPr="00B514AD">
        <w:rPr>
          <w:rFonts w:ascii="Arial" w:hAnsi="Arial" w:cs="Arial"/>
        </w:rPr>
        <w:t xml:space="preserve"> el universo estimado de víctimas para </w:t>
      </w:r>
      <w:r w:rsidRPr="00B514AD">
        <w:rPr>
          <w:rFonts w:ascii="Arial" w:hAnsi="Arial" w:cs="Arial"/>
        </w:rPr>
        <w:lastRenderedPageBreak/>
        <w:t xml:space="preserve">atención psicosocial de 3.472.453, proyectado por la RNI, este avance es tan solo de 13%. </w:t>
      </w:r>
    </w:p>
    <w:p w:rsidR="00EA5CC2" w:rsidRPr="00B514AD" w:rsidRDefault="00953CE8" w:rsidP="00EA5CC2">
      <w:pPr>
        <w:pStyle w:val="Textoindependiente"/>
        <w:spacing w:before="89"/>
        <w:ind w:left="1003" w:right="158"/>
        <w:jc w:val="both"/>
        <w:rPr>
          <w:rFonts w:ascii="Arial" w:hAnsi="Arial" w:cs="Arial"/>
        </w:rPr>
      </w:pPr>
      <w:r w:rsidRPr="00B514AD">
        <w:rPr>
          <w:rFonts w:ascii="Arial" w:hAnsi="Arial" w:cs="Arial"/>
        </w:rPr>
        <w:t xml:space="preserve">Por su parte, en el PND 2018-2022 se define para este indicador una meta de 1.152.999 víctimas atendidas para el cuatrienio, partiendo de una línea base a 2018 de 692.999 personas, lo que implica que se atenderán 460.000 personas. Al ser este número menor a la meta establecida para el cuatrienio anterior (2015-2018), se evidencia que el universo estimado de víctimas sujeto de atención no fue considerado para definir las metas. </w:t>
      </w:r>
    </w:p>
    <w:p w:rsidR="00EA5CC2" w:rsidRPr="00B514AD" w:rsidRDefault="00953CE8" w:rsidP="00EA5CC2">
      <w:pPr>
        <w:pStyle w:val="Textoindependiente"/>
        <w:spacing w:before="89"/>
        <w:ind w:left="1003" w:right="158"/>
        <w:jc w:val="both"/>
        <w:rPr>
          <w:rFonts w:ascii="Arial" w:hAnsi="Arial" w:cs="Arial"/>
        </w:rPr>
      </w:pPr>
      <w:r w:rsidRPr="00B514AD">
        <w:rPr>
          <w:rFonts w:ascii="Arial" w:hAnsi="Arial" w:cs="Arial"/>
        </w:rPr>
        <w:t xml:space="preserve">Con relación al indicador referente a las víctimas que acceden a medidas de rehabilitación física y/o mental, no hay claridad frente al resultado de la medición, lo que hace necesario un análisis del cumplimiento de la meta frente a la necesidad de atención, ya que no hay diagnóstico para la definición de acciones tendientes a cumplir la meta establecida para el año 2021. Se puede afirmar que las proyecciones en el marco de la planeación son inadecuadas y que los datos suministrados para la medición del cumplimiento de las metas presentan inconsistencias. </w:t>
      </w:r>
    </w:p>
    <w:p w:rsidR="00953CE8" w:rsidRPr="00B514AD" w:rsidRDefault="00953CE8" w:rsidP="00EA5CC2">
      <w:pPr>
        <w:pStyle w:val="Textoindependiente"/>
        <w:spacing w:before="89"/>
        <w:ind w:left="1003" w:right="158"/>
        <w:jc w:val="both"/>
        <w:rPr>
          <w:rFonts w:ascii="Arial" w:hAnsi="Arial" w:cs="Arial"/>
        </w:rPr>
      </w:pPr>
      <w:r w:rsidRPr="00B514AD">
        <w:rPr>
          <w:rFonts w:ascii="Arial" w:hAnsi="Arial" w:cs="Arial"/>
        </w:rPr>
        <w:t>Teniendo en cuenta el criterio de implementación del PAPSIVI, que focaliza las zonas con mayor presencia de víctimas, los datos muestran una concentración de implementación del programa en zonas urbanas consolidadas y poca cobertura en las zonas rurales y rurales distantes.</w:t>
      </w:r>
    </w:p>
    <w:p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restitución de tierras se ha indicado que: De acuerdo a la información suministrada en la plataforma Sinergia, el porcentaje de solicitudes en etapa administrativa a corte de 31 de diciembre de 2018, corresponde al 151%, superando la meta de 50.000 que se había propuesto. No obstante, esta cifra no se compadece con el total de solicitudes que ascienden a 121.876, lo que indica claramente una deficiencia en la obligación de garantía de los derechos de las víctimas en el marco de la Ley 1448 de 2011.</w:t>
      </w:r>
    </w:p>
    <w:p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Uno de los principales retos, lograr el efectivo cumplimiento de las órdenes judiciales. Para ello, la Ley 1448 de 2011, estableció el seguimiento a posfallo a cargo de los jueces y magistrados especializados en restitución de tierras, lo cual ha resultado útil, pero aún no efectivo de acuerdo con los indicadores y resultados obtenidos.</w:t>
      </w:r>
    </w:p>
    <w:p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 xml:space="preserve">En la etapa administrativa a 31 de marzo de 2019, se presentaron ante la URT, 121.462150 solicitudes, de las cuales 95.473 fueron habilitadas por el Ministerio de Defensa para continuar con el respectivo trámite que incluye la microfocalización de las zonas. Esta cifra es el 79% del total de solicitudes, quedando un 21% sin la posibilidad de iniciar el trámite administrativo, lo que ha dificultado la materialización de los derechos de las víctimas de despojo o abandono en el marco del conflicto armado, debido a la imposibilidad de llegar a las zonas para realizar los estudios referentes a la caracterización de los habitantes, microfocalización e identificación de los predios. Persiste una menor inscripción de mujeres en el RTDAF, lo que puede representar posibles obstáculos a la </w:t>
      </w:r>
      <w:r w:rsidRPr="00B514AD">
        <w:rPr>
          <w:rFonts w:ascii="Arial" w:hAnsi="Arial" w:cs="Arial"/>
        </w:rPr>
        <w:lastRenderedPageBreak/>
        <w:t>implementación de la política de mujer rural y en general de igualdad de género.</w:t>
      </w:r>
    </w:p>
    <w:p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De igual forma de los 70.442 casos que con corte a 31 de marzo de 2019 se les dio trámite administrativo, 45.379152 no fueron inscritos, lo que representa el 64% de las solicitudes, persistiendo un alto número de negaciones</w:t>
      </w:r>
    </w:p>
    <w:p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 xml:space="preserve">Ahora bien, para la etapa judicial es necesario precisar que de las 25.063 solicitudes que fueron inscritas en el RTDAF, 17.961 cuentan con demanda presentada, quedando el 29% </w:t>
      </w:r>
      <w:r w:rsidR="00B35D57" w:rsidRPr="00B514AD">
        <w:rPr>
          <w:rFonts w:ascii="Arial" w:hAnsi="Arial" w:cs="Arial"/>
        </w:rPr>
        <w:t>aún</w:t>
      </w:r>
      <w:r w:rsidRPr="00B514AD">
        <w:rPr>
          <w:rFonts w:ascii="Arial" w:hAnsi="Arial" w:cs="Arial"/>
        </w:rPr>
        <w:t xml:space="preserve"> sin resolver y a la espera de la presentación de acciones ante los juzgados de restitución de tierras. Esta cifra de demandas presentadas es todavía más precaria si se comparada con la totalidad de solicitudes de restitución de tierras en etapa administrativa que a 31 de marzo de 2019 son 121.462.</w:t>
      </w:r>
    </w:p>
    <w:p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vivienda urbana y rural los órganos de control concluyeron que el ejercicio de seguimiento al acceso a la vivienda por parte de la población víctima de desplazamiento, permite señalar que existe una insuficiente oferta de vivienda nueva o usada para esta población, y se concluyó que no se habían superado las barreras de acceso para ampliar la cobertura. En esa medida no han cubierto la demanda de vivienda de las víctimas</w:t>
      </w:r>
    </w:p>
    <w:p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 xml:space="preserve">Existe una oferta de vivienda rural insuficiente para las personas desplazadas y las comunidades en procesos de retorno y reubicación, adicionalmente continúa sin resolver </w:t>
      </w:r>
      <w:r w:rsidR="00B35D57" w:rsidRPr="00B514AD">
        <w:rPr>
          <w:rFonts w:ascii="Arial" w:hAnsi="Arial" w:cs="Arial"/>
        </w:rPr>
        <w:t>las situaciones derivadas</w:t>
      </w:r>
      <w:r w:rsidRPr="00B514AD">
        <w:rPr>
          <w:rFonts w:ascii="Arial" w:hAnsi="Arial" w:cs="Arial"/>
        </w:rPr>
        <w:t xml:space="preserve"> de proyectos de vivienda rural inconclusos, paralizados o siniestrados.</w:t>
      </w:r>
    </w:p>
    <w:p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Educación Superior tenemos que de las 70.671 víctimas que solicitaron créditos educativos condonables, solo al 4.972 (5) %, se les aprobó la solicitud, y de este universo, únicamente 3.395 legalizaron el crédito, cumpliendo con los requerimientos estipulados para condonar sus estudios de educación superior. Ahora bien, la población víctima que accede a algún nivel de educación superior no solo lo puede hacer por medio del Fondo de Educación Superior para Víctimas sino también por otras alternativas de financiación (incluyendo recursos propios), toda vez que las cifras que presenta el SNIES, son mayores a las del Fondo. Aun así, los recursos aportados por las entidades para el funcionamiento del Fondo resultan insuficientes.</w:t>
      </w:r>
    </w:p>
    <w:p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 xml:space="preserve">En materia de generación de ingresos: se ha identificado la necesidad del rediseño de una política clara y efectiva en el marco de la generación de ingresos, que incluya de manera diferenciada y articulada las necesidades de las víctimas tal como se establece desde el Auto 373 de 2016 de la Corte Constitucional. En Sinergia, se registra el avance para los siguientes indicadores: i) Víctimas formadas para potenciar el enganche laboral con un reporte de 21.913 víctimas en el cuatrienio; ii) víctimas de desplazamiento forzado atendidas en la línea de intervención de formación para el trabajo, que reporta un avance de 2.970.638; iii) en atención a víctimas para la línea de emprendimiento y fortalecimiento se </w:t>
      </w:r>
      <w:r w:rsidRPr="00B514AD">
        <w:rPr>
          <w:rFonts w:ascii="Arial" w:hAnsi="Arial" w:cs="Arial"/>
        </w:rPr>
        <w:lastRenderedPageBreak/>
        <w:t xml:space="preserve">presentaron 277.987 víctimas atendidas. Los anteriores indicadores presentan un cumplimiento alto dadas las metas fijadas por el propio gobierno, sin </w:t>
      </w:r>
      <w:r w:rsidR="00B35D57" w:rsidRPr="00B514AD">
        <w:rPr>
          <w:rFonts w:ascii="Arial" w:hAnsi="Arial" w:cs="Arial"/>
        </w:rPr>
        <w:t>embargo,</w:t>
      </w:r>
      <w:r w:rsidRPr="00B514AD">
        <w:rPr>
          <w:rFonts w:ascii="Arial" w:hAnsi="Arial" w:cs="Arial"/>
        </w:rPr>
        <w:t xml:space="preserve"> se advierte que las metas fueron insuficientes considerando el universo de </w:t>
      </w:r>
      <w:r w:rsidR="00B35D57" w:rsidRPr="00B514AD">
        <w:rPr>
          <w:rFonts w:ascii="Arial" w:hAnsi="Arial" w:cs="Arial"/>
        </w:rPr>
        <w:t>víctimas</w:t>
      </w:r>
      <w:r w:rsidRPr="00B514AD">
        <w:rPr>
          <w:rFonts w:ascii="Arial" w:hAnsi="Arial" w:cs="Arial"/>
        </w:rPr>
        <w:t xml:space="preserve"> y que al contrastar las cifras presentadas por las entidades competentes se encontraron inconsistencias.</w:t>
      </w:r>
    </w:p>
    <w:p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Frente a la Indemnización administrativa: tenemos que el Gobierno Nacional no alcanzó el 100% de las metas propuestas en el Plan Nacional de Desarrollo 2014- 2018, aun cuando estas eran bajas en relación con el universo de víctimas susceptibles de ser indemnizadas. Adicionalmente, el número de víctimas susceptibles de indemnización es de 6.495.713 personas, y de estas solo 821.836, lo que corresponde al 13% han recibido esta medida de reparación, a dos años de terminar la vigencia prevista inicialmente en la Ley 1448 de 2011.</w:t>
      </w:r>
    </w:p>
    <w:p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reparación colectiva después de ocho años de la entrada en vigencia de la Ley 1448 de 2011, y de conformidad con las fases que contempla el Modelo de Reparación Colectiva, se encuentran en esta ruta 669262 sujetos colectivos, de los cuales únicamente seis han terminado la ejecución de las medidas del Plan Integral de Reparación Colectiva –en adelante, PIRC –, mientras que el 76% se encuentran en fases iniciales de la ruta.</w:t>
      </w:r>
    </w:p>
    <w:p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 En materia de asistencia Humanitaria tenemos que la dinámica del desplazamiento forzado y otros hechos victimizantes demuestra que, a pesar de las acciones implementadas por el Gobierno Nacional, persisten situaciones de conflicto armado y de violencia organizada que implican el incumplimiento de las garantías de no repetición de violaciones a los derechos humanos, así como la continuidad de las afectaciones que impiden la reconstrucción del tejido social. Sumado a lo anterior, se evidencia la necesidad de continuar aunando esfuerzos para garantizar el derecho fundamental de las víctimas al mínimo vital, a través del cumplimiento del derecho a solicitar y recibir atención humanitaria. Por ejemplo, solo entre enero y agosto de 2019 la Consultoría para los Derechos Humanos y el Desplazamiento CODHES registra 33.411 víctimas de desplazamiento forzado en 64 eventos de desplazamiento.</w:t>
      </w:r>
    </w:p>
    <w:p w:rsidR="00EA5CC2" w:rsidRPr="00B514AD" w:rsidRDefault="00EA5CC2" w:rsidP="00EA5CC2">
      <w:pPr>
        <w:pStyle w:val="Textoindependiente"/>
        <w:spacing w:before="89"/>
        <w:ind w:left="643" w:right="158"/>
        <w:jc w:val="both"/>
        <w:rPr>
          <w:rFonts w:ascii="Arial" w:hAnsi="Arial" w:cs="Arial"/>
        </w:rPr>
      </w:pPr>
      <w:r w:rsidRPr="00B514AD">
        <w:rPr>
          <w:rFonts w:ascii="Arial" w:hAnsi="Arial" w:cs="Arial"/>
        </w:rPr>
        <w:t xml:space="preserve">Es decir, no hay componente de los derechos de las víctimas que no tenga importantes retrasos en su implementación efectiva, y persisten barreras materiales y formales para que las víctimas acceso a sus derechos. En ese orden de ideas, puede indicarse que la Ley 1448 </w:t>
      </w:r>
      <w:r w:rsidR="00B35D57" w:rsidRPr="00B514AD">
        <w:rPr>
          <w:rFonts w:ascii="Arial" w:hAnsi="Arial" w:cs="Arial"/>
        </w:rPr>
        <w:t>aún</w:t>
      </w:r>
      <w:r w:rsidRPr="00B514AD">
        <w:rPr>
          <w:rFonts w:ascii="Arial" w:hAnsi="Arial" w:cs="Arial"/>
        </w:rPr>
        <w:t xml:space="preserve"> no ha cumplido los objetivos para las cuales fue planteada, por el </w:t>
      </w:r>
      <w:r w:rsidR="00B35D57" w:rsidRPr="00B514AD">
        <w:rPr>
          <w:rFonts w:ascii="Arial" w:hAnsi="Arial" w:cs="Arial"/>
        </w:rPr>
        <w:t>contrario,</w:t>
      </w:r>
      <w:r w:rsidRPr="00B514AD">
        <w:rPr>
          <w:rFonts w:ascii="Arial" w:hAnsi="Arial" w:cs="Arial"/>
        </w:rPr>
        <w:t xml:space="preserve"> la consolidación y cumplimiento efectivo de los derechos de las víctimas sigue siendo una tarea pendiente, y en ese sentido también lo son sus objetivos transicionales. En ese orden, de ideas, si bien es cierto persisten algunas discusiones sobre aspectos importantes de la Ley 1448 de 2011, también es cierto que estos aspectos pueden abordarse con mayor tranquilidad una vez se cuenten con el diagnostico gubernamental y que esto no es óbice para avanzar en la </w:t>
      </w:r>
      <w:r w:rsidRPr="00B514AD">
        <w:rPr>
          <w:rFonts w:ascii="Arial" w:hAnsi="Arial" w:cs="Arial"/>
        </w:rPr>
        <w:lastRenderedPageBreak/>
        <w:t xml:space="preserve">discusión de la ampliación de la Ley 1448 de 2011, pues se asume que toda reforma posterior deberá asumir un enfoque de progresividad y en ese sentido, el contenido actual de la Ley 1448 es el mínimo de derechos que ha de garantizarse. De esta forma, garantizar la ampliación de la Ley 1448 de 2011 es el primer paso para garantizar la existencia de un marco normativo e institucional para los derechos de </w:t>
      </w:r>
      <w:r w:rsidR="00B35D57" w:rsidRPr="00B514AD">
        <w:rPr>
          <w:rFonts w:ascii="Arial" w:hAnsi="Arial" w:cs="Arial"/>
        </w:rPr>
        <w:t>las víctimas</w:t>
      </w:r>
      <w:r w:rsidRPr="00B514AD">
        <w:rPr>
          <w:rFonts w:ascii="Arial" w:hAnsi="Arial" w:cs="Arial"/>
        </w:rPr>
        <w:t>, sin perjuicio de que posteriormente el congreso de la República en uso de sus facultades constitucionales decida ampliar los contenidos de la misma.</w:t>
      </w:r>
    </w:p>
    <w:p w:rsidR="00EA5CC2" w:rsidRPr="00B514AD" w:rsidRDefault="00EA5CC2" w:rsidP="00EA5CC2">
      <w:pPr>
        <w:pStyle w:val="Textoindependiente"/>
        <w:spacing w:before="89"/>
        <w:ind w:left="643" w:right="158"/>
        <w:jc w:val="both"/>
        <w:rPr>
          <w:rFonts w:ascii="Arial" w:hAnsi="Arial" w:cs="Arial"/>
        </w:rPr>
      </w:pPr>
    </w:p>
    <w:p w:rsidR="00EA5CC2" w:rsidRPr="00B514AD" w:rsidRDefault="00EA5CC2" w:rsidP="00EA5CC2">
      <w:pPr>
        <w:pStyle w:val="Textoindependiente"/>
        <w:spacing w:before="89"/>
        <w:ind w:left="643" w:right="158"/>
        <w:jc w:val="both"/>
        <w:rPr>
          <w:rFonts w:ascii="Arial" w:hAnsi="Arial" w:cs="Arial"/>
        </w:rPr>
      </w:pPr>
      <w:r w:rsidRPr="00B514AD">
        <w:rPr>
          <w:rFonts w:ascii="Arial" w:hAnsi="Arial" w:cs="Arial"/>
        </w:rPr>
        <w:t xml:space="preserve">En esa perspectiva lo más adecuado entonces es continuar con el </w:t>
      </w:r>
      <w:r w:rsidR="00B35D57" w:rsidRPr="00B514AD">
        <w:rPr>
          <w:rFonts w:ascii="Arial" w:hAnsi="Arial" w:cs="Arial"/>
        </w:rPr>
        <w:t>trámite</w:t>
      </w:r>
      <w:r w:rsidRPr="00B514AD">
        <w:rPr>
          <w:rFonts w:ascii="Arial" w:hAnsi="Arial" w:cs="Arial"/>
        </w:rPr>
        <w:t xml:space="preserve"> de est</w:t>
      </w:r>
      <w:r w:rsidR="002821CE">
        <w:rPr>
          <w:rFonts w:ascii="Arial" w:hAnsi="Arial" w:cs="Arial"/>
        </w:rPr>
        <w:t>os</w:t>
      </w:r>
      <w:r w:rsidRPr="00B514AD">
        <w:rPr>
          <w:rFonts w:ascii="Arial" w:hAnsi="Arial" w:cs="Arial"/>
        </w:rPr>
        <w:t xml:space="preserve"> proyecto</w:t>
      </w:r>
      <w:r w:rsidR="002821CE">
        <w:rPr>
          <w:rFonts w:ascii="Arial" w:hAnsi="Arial" w:cs="Arial"/>
        </w:rPr>
        <w:t>s</w:t>
      </w:r>
      <w:r w:rsidRPr="00B514AD">
        <w:rPr>
          <w:rFonts w:ascii="Arial" w:hAnsi="Arial" w:cs="Arial"/>
        </w:rPr>
        <w:t xml:space="preserve"> </w:t>
      </w:r>
      <w:r w:rsidR="006E479D">
        <w:rPr>
          <w:rFonts w:ascii="Arial" w:hAnsi="Arial" w:cs="Arial"/>
        </w:rPr>
        <w:t xml:space="preserve">de Ley, haciendo las modificaciones correspondientes </w:t>
      </w:r>
      <w:r w:rsidRPr="00B514AD">
        <w:rPr>
          <w:rFonts w:ascii="Arial" w:hAnsi="Arial" w:cs="Arial"/>
        </w:rPr>
        <w:t xml:space="preserve">para la ampliación de la 1448 de 2011 y </w:t>
      </w:r>
      <w:r w:rsidR="006E479D">
        <w:rPr>
          <w:rFonts w:ascii="Arial" w:hAnsi="Arial" w:cs="Arial"/>
        </w:rPr>
        <w:t xml:space="preserve">los Decretos Ley </w:t>
      </w:r>
      <w:r w:rsidR="00B4772B">
        <w:rPr>
          <w:rFonts w:ascii="Arial" w:hAnsi="Arial" w:cs="Arial"/>
        </w:rPr>
        <w:t>Étnicos</w:t>
      </w:r>
      <w:r w:rsidR="006E479D">
        <w:rPr>
          <w:rFonts w:ascii="Arial" w:hAnsi="Arial" w:cs="Arial"/>
        </w:rPr>
        <w:t xml:space="preserve">, </w:t>
      </w:r>
      <w:r w:rsidRPr="00B514AD">
        <w:rPr>
          <w:rFonts w:ascii="Arial" w:hAnsi="Arial" w:cs="Arial"/>
        </w:rPr>
        <w:t>busca</w:t>
      </w:r>
      <w:r w:rsidR="006E479D">
        <w:rPr>
          <w:rFonts w:ascii="Arial" w:hAnsi="Arial" w:cs="Arial"/>
        </w:rPr>
        <w:t xml:space="preserve">ndo </w:t>
      </w:r>
      <w:r w:rsidRPr="00B514AD">
        <w:rPr>
          <w:rFonts w:ascii="Arial" w:hAnsi="Arial" w:cs="Arial"/>
        </w:rPr>
        <w:t>una apuesta multipartidista en pos de la garantía de los derechos de las víctimas del conflicto armado.</w:t>
      </w:r>
    </w:p>
    <w:p w:rsidR="006E479D" w:rsidRDefault="006E479D" w:rsidP="00FD487C">
      <w:pPr>
        <w:spacing w:after="0" w:line="240" w:lineRule="auto"/>
        <w:jc w:val="both"/>
        <w:rPr>
          <w:rFonts w:ascii="Arial" w:hAnsi="Arial" w:cs="Arial"/>
          <w:b/>
          <w:color w:val="000000" w:themeColor="text1"/>
        </w:rPr>
      </w:pPr>
      <w:bookmarkStart w:id="0" w:name="Informe_de_Conciliación__al_Proyecto_de_"/>
      <w:bookmarkStart w:id="1" w:name="por_la_cual_se_modifica_parcialmente_la_"/>
      <w:bookmarkStart w:id="2" w:name="_bookmark1"/>
      <w:bookmarkEnd w:id="0"/>
      <w:bookmarkEnd w:id="1"/>
      <w:bookmarkEnd w:id="2"/>
    </w:p>
    <w:p w:rsidR="006E479D" w:rsidRPr="00B514AD" w:rsidRDefault="006E479D" w:rsidP="006E479D">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color w:val="000000" w:themeColor="text1"/>
          <w:lang w:val="es-ES_tradnl"/>
        </w:rPr>
      </w:pPr>
      <w:r>
        <w:rPr>
          <w:rFonts w:ascii="Arial" w:hAnsi="Arial" w:cs="Arial"/>
          <w:b/>
          <w:color w:val="000000" w:themeColor="text1"/>
          <w:lang w:val="es-ES_tradnl"/>
        </w:rPr>
        <w:t>PLIEGO DE MODIFICACIONES</w:t>
      </w:r>
    </w:p>
    <w:p w:rsidR="006E479D" w:rsidRPr="00B514AD" w:rsidRDefault="006E479D" w:rsidP="006E479D">
      <w:pPr>
        <w:spacing w:after="0" w:line="240" w:lineRule="auto"/>
        <w:ind w:left="720"/>
        <w:jc w:val="both"/>
        <w:rPr>
          <w:rFonts w:ascii="Arial" w:hAnsi="Arial" w:cs="Arial"/>
          <w:color w:val="000000" w:themeColor="text1"/>
        </w:rPr>
      </w:pPr>
    </w:p>
    <w:p w:rsidR="006E479D" w:rsidRDefault="006E479D" w:rsidP="00FD487C">
      <w:pPr>
        <w:spacing w:after="0" w:line="240" w:lineRule="auto"/>
        <w:jc w:val="both"/>
        <w:rPr>
          <w:rFonts w:ascii="Arial" w:hAnsi="Arial" w:cs="Arial"/>
          <w:color w:val="000000" w:themeColor="text1"/>
        </w:rPr>
      </w:pPr>
    </w:p>
    <w:tbl>
      <w:tblPr>
        <w:tblStyle w:val="Tablaconcuadrcula"/>
        <w:tblW w:w="9071" w:type="dxa"/>
        <w:tblLayout w:type="fixed"/>
        <w:tblLook w:val="04A0" w:firstRow="1" w:lastRow="0" w:firstColumn="1" w:lastColumn="0" w:noHBand="0" w:noVBand="1"/>
      </w:tblPr>
      <w:tblGrid>
        <w:gridCol w:w="2263"/>
        <w:gridCol w:w="2410"/>
        <w:gridCol w:w="2268"/>
        <w:gridCol w:w="2130"/>
      </w:tblGrid>
      <w:tr w:rsidR="005377EC" w:rsidRPr="005377EC" w:rsidTr="005377EC">
        <w:tc>
          <w:tcPr>
            <w:tcW w:w="2263" w:type="dxa"/>
          </w:tcPr>
          <w:p w:rsidR="005377EC" w:rsidRPr="005377EC" w:rsidRDefault="005377EC" w:rsidP="006E479D">
            <w:pPr>
              <w:jc w:val="both"/>
              <w:rPr>
                <w:rFonts w:ascii="Arial" w:hAnsi="Arial" w:cs="Arial"/>
                <w:b/>
                <w:color w:val="000000" w:themeColor="text1"/>
                <w:sz w:val="20"/>
              </w:rPr>
            </w:pPr>
            <w:r w:rsidRPr="005377EC">
              <w:rPr>
                <w:rFonts w:ascii="Arial" w:hAnsi="Arial" w:cs="Arial"/>
                <w:b/>
                <w:color w:val="000000" w:themeColor="text1"/>
                <w:sz w:val="20"/>
              </w:rPr>
              <w:t>Proyecto radicado 199 del 2019</w:t>
            </w:r>
            <w:r w:rsidR="005150A9">
              <w:rPr>
                <w:rFonts w:ascii="Arial" w:hAnsi="Arial" w:cs="Arial"/>
                <w:b/>
                <w:color w:val="000000" w:themeColor="text1"/>
                <w:sz w:val="20"/>
              </w:rPr>
              <w:t xml:space="preserve"> Cámara</w:t>
            </w:r>
          </w:p>
        </w:tc>
        <w:tc>
          <w:tcPr>
            <w:tcW w:w="2410" w:type="dxa"/>
          </w:tcPr>
          <w:p w:rsidR="005377EC" w:rsidRPr="005377EC" w:rsidRDefault="005377EC" w:rsidP="00FD487C">
            <w:pPr>
              <w:jc w:val="both"/>
              <w:rPr>
                <w:rFonts w:ascii="Arial" w:hAnsi="Arial" w:cs="Arial"/>
                <w:b/>
                <w:color w:val="000000" w:themeColor="text1"/>
                <w:sz w:val="20"/>
              </w:rPr>
            </w:pPr>
            <w:r>
              <w:rPr>
                <w:rFonts w:ascii="Arial" w:hAnsi="Arial" w:cs="Arial"/>
                <w:b/>
                <w:color w:val="000000" w:themeColor="text1"/>
                <w:sz w:val="20"/>
              </w:rPr>
              <w:t>Proyecto radicado 247 de 2019</w:t>
            </w:r>
            <w:r w:rsidR="005150A9">
              <w:rPr>
                <w:rFonts w:ascii="Arial" w:hAnsi="Arial" w:cs="Arial"/>
                <w:b/>
                <w:color w:val="000000" w:themeColor="text1"/>
                <w:sz w:val="20"/>
              </w:rPr>
              <w:t xml:space="preserve"> Cámara</w:t>
            </w:r>
          </w:p>
        </w:tc>
        <w:tc>
          <w:tcPr>
            <w:tcW w:w="2268" w:type="dxa"/>
          </w:tcPr>
          <w:p w:rsidR="005377EC" w:rsidRPr="005377EC" w:rsidRDefault="005377EC" w:rsidP="00FD487C">
            <w:pPr>
              <w:jc w:val="both"/>
              <w:rPr>
                <w:rFonts w:ascii="Arial" w:hAnsi="Arial" w:cs="Arial"/>
                <w:b/>
                <w:color w:val="000000" w:themeColor="text1"/>
                <w:sz w:val="20"/>
              </w:rPr>
            </w:pPr>
            <w:r>
              <w:rPr>
                <w:rFonts w:ascii="Arial" w:hAnsi="Arial" w:cs="Arial"/>
                <w:b/>
                <w:color w:val="000000" w:themeColor="text1"/>
                <w:sz w:val="20"/>
              </w:rPr>
              <w:t xml:space="preserve">Texto Ponencia </w:t>
            </w:r>
          </w:p>
        </w:tc>
        <w:tc>
          <w:tcPr>
            <w:tcW w:w="2130" w:type="dxa"/>
          </w:tcPr>
          <w:p w:rsidR="005377EC" w:rsidRPr="005377EC" w:rsidRDefault="005377EC" w:rsidP="00FD487C">
            <w:pPr>
              <w:jc w:val="both"/>
              <w:rPr>
                <w:rFonts w:ascii="Arial" w:hAnsi="Arial" w:cs="Arial"/>
                <w:b/>
                <w:color w:val="000000" w:themeColor="text1"/>
                <w:sz w:val="20"/>
              </w:rPr>
            </w:pPr>
            <w:r w:rsidRPr="005377EC">
              <w:rPr>
                <w:rFonts w:ascii="Arial" w:hAnsi="Arial" w:cs="Arial"/>
                <w:b/>
                <w:color w:val="000000" w:themeColor="text1"/>
                <w:sz w:val="20"/>
              </w:rPr>
              <w:t>Comentarios</w:t>
            </w:r>
          </w:p>
        </w:tc>
      </w:tr>
      <w:tr w:rsidR="005377EC" w:rsidRPr="005377EC" w:rsidTr="005377EC">
        <w:tc>
          <w:tcPr>
            <w:tcW w:w="2263" w:type="dxa"/>
          </w:tcPr>
          <w:p w:rsidR="005377EC" w:rsidRPr="005377EC" w:rsidRDefault="005377EC" w:rsidP="005377EC">
            <w:pPr>
              <w:jc w:val="both"/>
              <w:rPr>
                <w:rFonts w:ascii="Arial" w:hAnsi="Arial" w:cs="Arial"/>
                <w:b/>
                <w:sz w:val="20"/>
              </w:rPr>
            </w:pPr>
            <w:r w:rsidRPr="005377EC">
              <w:rPr>
                <w:rFonts w:ascii="Arial" w:hAnsi="Arial" w:cs="Arial"/>
                <w:b/>
                <w:sz w:val="20"/>
              </w:rPr>
              <w:t>Titulo</w:t>
            </w:r>
          </w:p>
          <w:p w:rsidR="005377EC" w:rsidRPr="005377EC" w:rsidRDefault="005377EC" w:rsidP="005377EC">
            <w:pPr>
              <w:jc w:val="both"/>
              <w:rPr>
                <w:rFonts w:ascii="Arial" w:hAnsi="Arial" w:cs="Arial"/>
                <w:b/>
                <w:sz w:val="20"/>
              </w:rPr>
            </w:pPr>
            <w:r w:rsidRPr="00B514AD">
              <w:rPr>
                <w:rFonts w:ascii="Arial" w:hAnsi="Arial" w:cs="Arial"/>
                <w:b/>
              </w:rPr>
              <w:t>“POR MEDIO DE LA CUAL MODIFICA LA LEY 1448 DE 2011 AMPLIANDO POR 10 AÑOS LA VIGENCIA DE LA MISMA”</w:t>
            </w:r>
            <w:r>
              <w:rPr>
                <w:rFonts w:ascii="Arial" w:hAnsi="Arial" w:cs="Arial"/>
                <w:b/>
                <w:color w:val="000000" w:themeColor="text1"/>
                <w:lang w:val="es-ES_tradnl"/>
              </w:rPr>
              <w:t>,</w:t>
            </w:r>
          </w:p>
        </w:tc>
        <w:tc>
          <w:tcPr>
            <w:tcW w:w="2410" w:type="dxa"/>
          </w:tcPr>
          <w:p w:rsidR="005377EC" w:rsidRPr="005377EC" w:rsidRDefault="005377EC" w:rsidP="005377EC">
            <w:pPr>
              <w:jc w:val="both"/>
              <w:rPr>
                <w:rFonts w:ascii="Arial" w:hAnsi="Arial" w:cs="Arial"/>
                <w:b/>
                <w:sz w:val="20"/>
              </w:rPr>
            </w:pPr>
            <w:r w:rsidRPr="005377EC">
              <w:rPr>
                <w:rFonts w:ascii="Arial" w:hAnsi="Arial" w:cs="Arial"/>
                <w:b/>
                <w:sz w:val="20"/>
              </w:rPr>
              <w:t>Titulo</w:t>
            </w:r>
          </w:p>
          <w:p w:rsidR="005377EC" w:rsidRPr="005377EC" w:rsidRDefault="005377EC" w:rsidP="005377EC">
            <w:pPr>
              <w:jc w:val="both"/>
              <w:rPr>
                <w:rFonts w:ascii="Arial" w:hAnsi="Arial" w:cs="Arial"/>
                <w:b/>
                <w:sz w:val="20"/>
                <w:szCs w:val="22"/>
              </w:rPr>
            </w:pPr>
            <w:r w:rsidRPr="00162E8F">
              <w:rPr>
                <w:rFonts w:ascii="Arial" w:hAnsi="Arial" w:cs="Arial"/>
                <w:b/>
                <w:color w:val="000000" w:themeColor="text1"/>
                <w:lang w:val="es-ES_tradnl"/>
              </w:rPr>
              <w:t>“POR MEDIO DE LA CUAL SE MODIFICAN LOS ARTÍCULOS 208 DE LEY 1448 DE 2011, 194 DEL DECRETO LEY 4633 DE 2011, 123 DEL DECRETO LEY 4634 DE 2011, Y DEL DECRETO LEY 4635 DE 2011, PRORROGÁNDOSE LAS ANTERIORES NORMAS POR DIEZ AÑOS MÁS.</w:t>
            </w:r>
          </w:p>
        </w:tc>
        <w:tc>
          <w:tcPr>
            <w:tcW w:w="2268" w:type="dxa"/>
          </w:tcPr>
          <w:p w:rsidR="005377EC" w:rsidRPr="005377EC" w:rsidRDefault="005377EC" w:rsidP="005377EC">
            <w:pPr>
              <w:jc w:val="both"/>
              <w:rPr>
                <w:rFonts w:ascii="Arial" w:hAnsi="Arial" w:cs="Arial"/>
                <w:b/>
                <w:sz w:val="20"/>
              </w:rPr>
            </w:pPr>
            <w:r w:rsidRPr="005377EC">
              <w:rPr>
                <w:rFonts w:ascii="Arial" w:hAnsi="Arial" w:cs="Arial"/>
                <w:b/>
                <w:sz w:val="20"/>
              </w:rPr>
              <w:t>Titulo</w:t>
            </w:r>
          </w:p>
          <w:p w:rsidR="005377EC" w:rsidRPr="005377EC" w:rsidRDefault="005377EC" w:rsidP="004E3531">
            <w:pPr>
              <w:jc w:val="both"/>
              <w:rPr>
                <w:rFonts w:ascii="Arial" w:hAnsi="Arial" w:cs="Arial"/>
                <w:b/>
                <w:sz w:val="20"/>
                <w:szCs w:val="22"/>
              </w:rPr>
            </w:pPr>
            <w:r w:rsidRPr="005377EC">
              <w:rPr>
                <w:rFonts w:ascii="Arial" w:hAnsi="Arial" w:cs="Arial"/>
                <w:b/>
              </w:rPr>
              <w:t xml:space="preserve">“POR MEDIO DE LA CUAL SE MODIFICA LA LEY 1448 DE 2011 </w:t>
            </w:r>
            <w:r w:rsidRPr="005377EC">
              <w:rPr>
                <w:rFonts w:ascii="Arial" w:hAnsi="Arial" w:cs="Arial"/>
                <w:b/>
                <w:szCs w:val="22"/>
              </w:rPr>
              <w:t>Y LOS DECRETOS LEY 4633 DE 2011, 4634 DE 2011, Y 4635 DE 2011</w:t>
            </w:r>
            <w:r w:rsidRPr="005377EC">
              <w:rPr>
                <w:rFonts w:ascii="Arial" w:eastAsia="Courier New" w:hAnsi="Arial" w:cs="Arial"/>
                <w:b/>
                <w:szCs w:val="22"/>
              </w:rPr>
              <w:t>.</w:t>
            </w:r>
            <w:r w:rsidRPr="005377EC">
              <w:rPr>
                <w:rFonts w:ascii="Arial" w:hAnsi="Arial" w:cs="Arial"/>
                <w:b/>
              </w:rPr>
              <w:t>,  AMPLIANDO POR 10 AÑOS SU VIGENCIA ”</w:t>
            </w:r>
          </w:p>
        </w:tc>
        <w:tc>
          <w:tcPr>
            <w:tcW w:w="2130" w:type="dxa"/>
          </w:tcPr>
          <w:p w:rsidR="005377EC" w:rsidRPr="005377EC" w:rsidRDefault="005377EC" w:rsidP="005377EC">
            <w:pPr>
              <w:jc w:val="both"/>
              <w:rPr>
                <w:rFonts w:ascii="Arial" w:hAnsi="Arial" w:cs="Arial"/>
                <w:color w:val="000000" w:themeColor="text1"/>
                <w:sz w:val="20"/>
                <w:szCs w:val="22"/>
              </w:rPr>
            </w:pPr>
            <w:r w:rsidRPr="005377EC">
              <w:rPr>
                <w:rFonts w:ascii="Arial" w:hAnsi="Arial" w:cs="Arial"/>
                <w:color w:val="000000" w:themeColor="text1"/>
                <w:sz w:val="20"/>
                <w:szCs w:val="22"/>
              </w:rPr>
              <w:t xml:space="preserve">Durante la audiencia pública se hizo evidente que la ampliación debía también ser extensiva a los decretos ley referentes a las Víctimas del Conflicto armado </w:t>
            </w:r>
          </w:p>
        </w:tc>
      </w:tr>
      <w:tr w:rsidR="005377EC" w:rsidRPr="005377EC" w:rsidTr="005377EC">
        <w:tc>
          <w:tcPr>
            <w:tcW w:w="2263" w:type="dxa"/>
          </w:tcPr>
          <w:p w:rsidR="005377EC" w:rsidRPr="005377EC" w:rsidRDefault="005377EC" w:rsidP="005377EC">
            <w:pPr>
              <w:jc w:val="both"/>
              <w:rPr>
                <w:rFonts w:ascii="Arial" w:hAnsi="Arial" w:cs="Arial"/>
                <w:sz w:val="20"/>
                <w:szCs w:val="22"/>
              </w:rPr>
            </w:pPr>
            <w:r w:rsidRPr="005377EC">
              <w:rPr>
                <w:rFonts w:ascii="Arial" w:hAnsi="Arial" w:cs="Arial"/>
                <w:b/>
                <w:sz w:val="20"/>
                <w:szCs w:val="22"/>
              </w:rPr>
              <w:t xml:space="preserve">ARTÍCULO 1º. OBJETO: </w:t>
            </w:r>
            <w:r w:rsidRPr="005377EC">
              <w:rPr>
                <w:rFonts w:ascii="Arial" w:hAnsi="Arial" w:cs="Arial"/>
                <w:sz w:val="20"/>
                <w:szCs w:val="22"/>
              </w:rPr>
              <w:t xml:space="preserve">A través de esta ley se aumenta en diez años la vigencia de la ley 1448 de 2011 “Por la cual se dictan medidas de atención, asistencia y reparación integral a las víctimas del conflicto armado </w:t>
            </w:r>
            <w:r w:rsidRPr="005377EC">
              <w:rPr>
                <w:rFonts w:ascii="Arial" w:hAnsi="Arial" w:cs="Arial"/>
                <w:sz w:val="20"/>
                <w:szCs w:val="22"/>
              </w:rPr>
              <w:lastRenderedPageBreak/>
              <w:t>interno y se dictan otras disposiciones”. Lo anterior puesto que el proceso de reparación consignado en la ley se ha demorado más de lo previsto y se debe garantizar la atención y reparación de las víctimas en el marco de una Paz estable y duradera.</w:t>
            </w:r>
          </w:p>
          <w:p w:rsidR="005377EC" w:rsidRPr="005377EC" w:rsidRDefault="005377EC" w:rsidP="005377EC">
            <w:pPr>
              <w:jc w:val="both"/>
              <w:rPr>
                <w:rFonts w:ascii="Arial" w:hAnsi="Arial" w:cs="Arial"/>
                <w:color w:val="000000" w:themeColor="text1"/>
                <w:sz w:val="20"/>
                <w:szCs w:val="22"/>
              </w:rPr>
            </w:pPr>
          </w:p>
        </w:tc>
        <w:tc>
          <w:tcPr>
            <w:tcW w:w="2410" w:type="dxa"/>
          </w:tcPr>
          <w:p w:rsidR="005377EC" w:rsidRPr="005377EC" w:rsidRDefault="00187271" w:rsidP="005377EC">
            <w:pPr>
              <w:jc w:val="both"/>
              <w:rPr>
                <w:rFonts w:ascii="Arial" w:hAnsi="Arial" w:cs="Arial"/>
                <w:color w:val="000000" w:themeColor="text1"/>
                <w:sz w:val="20"/>
                <w:szCs w:val="22"/>
              </w:rPr>
            </w:pPr>
            <w:r w:rsidRPr="00187271">
              <w:rPr>
                <w:rFonts w:ascii="Arial" w:hAnsi="Arial" w:cs="Arial"/>
                <w:b/>
                <w:color w:val="000000" w:themeColor="text1"/>
                <w:sz w:val="20"/>
                <w:szCs w:val="22"/>
              </w:rPr>
              <w:lastRenderedPageBreak/>
              <w:t>ARTICULO 1. OBJETO</w:t>
            </w:r>
            <w:r w:rsidR="005377EC">
              <w:rPr>
                <w:rFonts w:ascii="Arial" w:hAnsi="Arial" w:cs="Arial"/>
                <w:color w:val="000000" w:themeColor="text1"/>
                <w:sz w:val="20"/>
                <w:szCs w:val="22"/>
              </w:rPr>
              <w:t xml:space="preserve">. Con el fin de dar cumplimiento al Acuerdo Final para la </w:t>
            </w:r>
            <w:r>
              <w:rPr>
                <w:rFonts w:ascii="Arial" w:hAnsi="Arial" w:cs="Arial"/>
                <w:color w:val="000000" w:themeColor="text1"/>
                <w:sz w:val="20"/>
                <w:szCs w:val="22"/>
              </w:rPr>
              <w:t>Terminación</w:t>
            </w:r>
            <w:r w:rsidR="005377EC">
              <w:rPr>
                <w:rFonts w:ascii="Arial" w:hAnsi="Arial" w:cs="Arial"/>
                <w:color w:val="000000" w:themeColor="text1"/>
                <w:sz w:val="20"/>
                <w:szCs w:val="22"/>
              </w:rPr>
              <w:t xml:space="preserve"> del </w:t>
            </w:r>
            <w:r>
              <w:rPr>
                <w:rFonts w:ascii="Arial" w:hAnsi="Arial" w:cs="Arial"/>
                <w:color w:val="000000" w:themeColor="text1"/>
                <w:sz w:val="20"/>
                <w:szCs w:val="22"/>
              </w:rPr>
              <w:t>Conflicto</w:t>
            </w:r>
            <w:r w:rsidR="005377EC">
              <w:rPr>
                <w:rFonts w:ascii="Arial" w:hAnsi="Arial" w:cs="Arial"/>
                <w:color w:val="000000" w:themeColor="text1"/>
                <w:sz w:val="20"/>
                <w:szCs w:val="22"/>
              </w:rPr>
              <w:t xml:space="preserve"> y la </w:t>
            </w:r>
            <w:r>
              <w:rPr>
                <w:rFonts w:ascii="Arial" w:hAnsi="Arial" w:cs="Arial"/>
                <w:color w:val="000000" w:themeColor="text1"/>
                <w:sz w:val="20"/>
                <w:szCs w:val="22"/>
              </w:rPr>
              <w:t>Construcción</w:t>
            </w:r>
            <w:r w:rsidR="005377EC">
              <w:rPr>
                <w:rFonts w:ascii="Arial" w:hAnsi="Arial" w:cs="Arial"/>
                <w:color w:val="000000" w:themeColor="text1"/>
                <w:sz w:val="20"/>
                <w:szCs w:val="22"/>
              </w:rPr>
              <w:t xml:space="preserve"> de una Paz Estable y Duradera respecto a la centralidad de las </w:t>
            </w:r>
            <w:r>
              <w:rPr>
                <w:rFonts w:ascii="Arial" w:hAnsi="Arial" w:cs="Arial"/>
                <w:color w:val="000000" w:themeColor="text1"/>
                <w:sz w:val="20"/>
                <w:szCs w:val="22"/>
              </w:rPr>
              <w:t>víctimas</w:t>
            </w:r>
            <w:r w:rsidR="005377EC">
              <w:rPr>
                <w:rFonts w:ascii="Arial" w:hAnsi="Arial" w:cs="Arial"/>
                <w:color w:val="000000" w:themeColor="text1"/>
                <w:sz w:val="20"/>
                <w:szCs w:val="22"/>
              </w:rPr>
              <w:t xml:space="preserve">, </w:t>
            </w:r>
            <w:r w:rsidR="005377EC">
              <w:rPr>
                <w:rFonts w:ascii="Arial" w:hAnsi="Arial" w:cs="Arial"/>
                <w:color w:val="000000" w:themeColor="text1"/>
                <w:sz w:val="20"/>
                <w:szCs w:val="22"/>
              </w:rPr>
              <w:lastRenderedPageBreak/>
              <w:t xml:space="preserve">especialmente en lo </w:t>
            </w:r>
            <w:r>
              <w:rPr>
                <w:rFonts w:ascii="Arial" w:hAnsi="Arial" w:cs="Arial"/>
                <w:color w:val="000000" w:themeColor="text1"/>
                <w:sz w:val="20"/>
                <w:szCs w:val="22"/>
              </w:rPr>
              <w:t>referido</w:t>
            </w:r>
            <w:r w:rsidR="005377EC">
              <w:rPr>
                <w:rFonts w:ascii="Arial" w:hAnsi="Arial" w:cs="Arial"/>
                <w:color w:val="000000" w:themeColor="text1"/>
                <w:sz w:val="20"/>
                <w:szCs w:val="22"/>
              </w:rPr>
              <w:t xml:space="preserve"> al punto 5.1.3.7 que estipulo la obligación de reforma la Ley de Victimas para fortalecer la atención y reparación y adecuarla a los nuevos contextos de una paz estable y duradera, por medio de una política realmente reparadora, al presente ley modifica los artículos 208 de la Ley 1448 </w:t>
            </w:r>
            <w:r>
              <w:rPr>
                <w:rFonts w:ascii="Arial" w:hAnsi="Arial" w:cs="Arial"/>
                <w:color w:val="000000" w:themeColor="text1"/>
                <w:sz w:val="20"/>
                <w:szCs w:val="22"/>
              </w:rPr>
              <w:t xml:space="preserve">de 2011, 194 del Decreto Ley 4633 de 2011, 123 del Decreto Ley 4634 de 2011 y 156 del Decreto Ley 4635 de 2011, prorrogándose las anteriores normas por diez años más. </w:t>
            </w:r>
          </w:p>
        </w:tc>
        <w:tc>
          <w:tcPr>
            <w:tcW w:w="2268" w:type="dxa"/>
          </w:tcPr>
          <w:p w:rsidR="005377EC" w:rsidRPr="005377EC" w:rsidRDefault="005377EC" w:rsidP="005377EC">
            <w:pPr>
              <w:jc w:val="both"/>
              <w:rPr>
                <w:rFonts w:ascii="Arial" w:eastAsia="Courier New" w:hAnsi="Arial" w:cs="Arial"/>
                <w:sz w:val="20"/>
                <w:szCs w:val="22"/>
              </w:rPr>
            </w:pPr>
            <w:r w:rsidRPr="005377EC">
              <w:rPr>
                <w:rFonts w:ascii="Arial" w:hAnsi="Arial" w:cs="Arial"/>
                <w:b/>
                <w:sz w:val="20"/>
                <w:szCs w:val="22"/>
              </w:rPr>
              <w:lastRenderedPageBreak/>
              <w:t xml:space="preserve">ARTÍCULO 1º. OBJETO: </w:t>
            </w:r>
            <w:r w:rsidRPr="005377EC">
              <w:rPr>
                <w:rFonts w:ascii="Arial" w:hAnsi="Arial" w:cs="Arial"/>
                <w:sz w:val="20"/>
                <w:szCs w:val="22"/>
              </w:rPr>
              <w:t xml:space="preserve">A través de esta ley se aumenta en diez años la vigencia de la ley 1448 de 2011 “Por la cual se dictan medidas de atención, asistencia y reparación integral a las víctimas del conflicto armado </w:t>
            </w:r>
            <w:r w:rsidRPr="005377EC">
              <w:rPr>
                <w:rFonts w:ascii="Arial" w:hAnsi="Arial" w:cs="Arial"/>
                <w:sz w:val="20"/>
                <w:szCs w:val="22"/>
              </w:rPr>
              <w:lastRenderedPageBreak/>
              <w:t xml:space="preserve">interno y se dictan otras disposiciones” </w:t>
            </w:r>
            <w:r w:rsidRPr="005377EC">
              <w:rPr>
                <w:rFonts w:ascii="Arial" w:hAnsi="Arial" w:cs="Arial"/>
                <w:sz w:val="20"/>
                <w:szCs w:val="22"/>
                <w:u w:val="single"/>
              </w:rPr>
              <w:t>y de los Decretos Ley Étnicos 4633 de 2011, 4634 de 2011, y 4635 de 2011</w:t>
            </w:r>
            <w:r w:rsidRPr="005377EC">
              <w:rPr>
                <w:rFonts w:ascii="Arial" w:eastAsia="Courier New" w:hAnsi="Arial" w:cs="Arial"/>
                <w:sz w:val="20"/>
                <w:szCs w:val="22"/>
                <w:u w:val="single"/>
              </w:rPr>
              <w:t>.</w:t>
            </w:r>
          </w:p>
          <w:p w:rsidR="005377EC" w:rsidRPr="005377EC" w:rsidRDefault="005377EC" w:rsidP="005377EC">
            <w:pPr>
              <w:jc w:val="both"/>
              <w:rPr>
                <w:rFonts w:ascii="Arial" w:eastAsia="Courier New" w:hAnsi="Arial" w:cs="Arial"/>
                <w:sz w:val="20"/>
                <w:szCs w:val="22"/>
              </w:rPr>
            </w:pPr>
          </w:p>
          <w:p w:rsidR="005377EC" w:rsidRPr="005377EC" w:rsidRDefault="005377EC" w:rsidP="005377EC">
            <w:pPr>
              <w:jc w:val="both"/>
              <w:rPr>
                <w:rFonts w:ascii="Arial" w:hAnsi="Arial" w:cs="Arial"/>
                <w:sz w:val="20"/>
                <w:szCs w:val="22"/>
              </w:rPr>
            </w:pPr>
            <w:r w:rsidRPr="005377EC">
              <w:rPr>
                <w:rFonts w:ascii="Arial" w:hAnsi="Arial" w:cs="Arial"/>
                <w:sz w:val="20"/>
                <w:szCs w:val="22"/>
              </w:rPr>
              <w:t>Lo anterior puesto que el proceso de reparación consignado en la ley se ha demorado más de lo previsto y se debe garantizar la atención y reparación de las víctimas en el marco de una Paz estable y duradera.</w:t>
            </w:r>
          </w:p>
          <w:p w:rsidR="005377EC" w:rsidRPr="005377EC" w:rsidRDefault="005377EC" w:rsidP="005377EC">
            <w:pPr>
              <w:jc w:val="both"/>
              <w:rPr>
                <w:rFonts w:ascii="Arial" w:hAnsi="Arial" w:cs="Arial"/>
                <w:color w:val="000000" w:themeColor="text1"/>
                <w:sz w:val="20"/>
                <w:szCs w:val="22"/>
              </w:rPr>
            </w:pPr>
          </w:p>
        </w:tc>
        <w:tc>
          <w:tcPr>
            <w:tcW w:w="2130" w:type="dxa"/>
          </w:tcPr>
          <w:p w:rsidR="005377EC" w:rsidRPr="005377EC" w:rsidRDefault="005377EC" w:rsidP="002821CE">
            <w:pPr>
              <w:jc w:val="both"/>
              <w:rPr>
                <w:rFonts w:ascii="Arial" w:hAnsi="Arial" w:cs="Arial"/>
                <w:color w:val="000000" w:themeColor="text1"/>
                <w:sz w:val="20"/>
                <w:szCs w:val="22"/>
              </w:rPr>
            </w:pPr>
            <w:r w:rsidRPr="005377EC">
              <w:rPr>
                <w:rFonts w:ascii="Arial" w:hAnsi="Arial" w:cs="Arial"/>
                <w:color w:val="000000" w:themeColor="text1"/>
                <w:sz w:val="20"/>
                <w:szCs w:val="22"/>
              </w:rPr>
              <w:lastRenderedPageBreak/>
              <w:t xml:space="preserve">Luego la acumulación con el </w:t>
            </w:r>
            <w:r w:rsidR="00A65DA3">
              <w:rPr>
                <w:rFonts w:ascii="Arial" w:hAnsi="Arial" w:cs="Arial"/>
                <w:color w:val="000000" w:themeColor="text1"/>
                <w:sz w:val="20"/>
                <w:szCs w:val="22"/>
              </w:rPr>
              <w:t xml:space="preserve">Proyecto de Ley 247 de 2019 Cámara </w:t>
            </w:r>
            <w:r w:rsidRPr="005377EC">
              <w:rPr>
                <w:rFonts w:ascii="Arial" w:hAnsi="Arial" w:cs="Arial"/>
                <w:color w:val="000000" w:themeColor="text1"/>
                <w:sz w:val="20"/>
                <w:szCs w:val="22"/>
              </w:rPr>
              <w:t xml:space="preserve">de la HR María José Pizarro, de las intervenciones del Coordinador de la Mesa Nacional de Victimas,  Codhes y </w:t>
            </w:r>
            <w:r w:rsidRPr="005377EC">
              <w:rPr>
                <w:rFonts w:ascii="Arial" w:hAnsi="Arial" w:cs="Arial"/>
                <w:color w:val="000000" w:themeColor="text1"/>
                <w:sz w:val="20"/>
                <w:szCs w:val="22"/>
              </w:rPr>
              <w:lastRenderedPageBreak/>
              <w:t>de los coordinadores de ponentes se consideró aprobar esta modificación</w:t>
            </w:r>
          </w:p>
        </w:tc>
      </w:tr>
      <w:tr w:rsidR="00187271" w:rsidRPr="005377EC" w:rsidTr="005377EC">
        <w:tc>
          <w:tcPr>
            <w:tcW w:w="2263" w:type="dxa"/>
          </w:tcPr>
          <w:p w:rsidR="00187271" w:rsidRPr="005377EC" w:rsidRDefault="00187271" w:rsidP="00187271">
            <w:pPr>
              <w:jc w:val="both"/>
              <w:rPr>
                <w:rFonts w:ascii="Arial" w:hAnsi="Arial" w:cs="Arial"/>
                <w:sz w:val="20"/>
                <w:szCs w:val="22"/>
              </w:rPr>
            </w:pPr>
            <w:r w:rsidRPr="005377EC">
              <w:rPr>
                <w:rFonts w:ascii="Arial" w:hAnsi="Arial" w:cs="Arial"/>
                <w:b/>
                <w:sz w:val="20"/>
                <w:szCs w:val="22"/>
              </w:rPr>
              <w:lastRenderedPageBreak/>
              <w:t>ARTÍCULO 2º.</w:t>
            </w:r>
            <w:r w:rsidRPr="005377EC">
              <w:rPr>
                <w:rFonts w:ascii="Arial" w:hAnsi="Arial" w:cs="Arial"/>
                <w:sz w:val="20"/>
                <w:szCs w:val="22"/>
              </w:rPr>
              <w:t xml:space="preserve"> Modifíquese el artículo 208 de la Ley 1448 de 2011, así: </w:t>
            </w:r>
            <w:r w:rsidRPr="005377EC">
              <w:rPr>
                <w:rFonts w:ascii="Arial" w:hAnsi="Arial" w:cs="Arial"/>
                <w:b/>
                <w:bCs/>
                <w:sz w:val="20"/>
                <w:szCs w:val="22"/>
              </w:rPr>
              <w:t>ARTÍCULO 208. VIGENCIA Y DEROGATORIAS.</w:t>
            </w:r>
            <w:r w:rsidRPr="005377EC">
              <w:rPr>
                <w:rFonts w:ascii="Arial" w:hAnsi="Arial" w:cs="Arial"/>
                <w:sz w:val="20"/>
                <w:szCs w:val="22"/>
              </w:rPr>
              <w:t> La presente ley rige a partir de su promulgación y tendrá una vigencia de veinte (20) años, y deroga todas las disposiciones que le sean contrarias, en particular los artículos 50, 51, 52 y 53 de la Ley 975 de 2005.</w:t>
            </w:r>
          </w:p>
          <w:p w:rsidR="00187271" w:rsidRPr="005377EC" w:rsidRDefault="00187271" w:rsidP="00187271">
            <w:pPr>
              <w:pStyle w:val="NormalWeb"/>
              <w:spacing w:line="270" w:lineRule="atLeast"/>
              <w:jc w:val="both"/>
              <w:rPr>
                <w:rFonts w:ascii="Arial" w:hAnsi="Arial" w:cs="Arial"/>
                <w:sz w:val="20"/>
                <w:szCs w:val="22"/>
              </w:rPr>
            </w:pPr>
            <w:r w:rsidRPr="005377EC">
              <w:rPr>
                <w:rStyle w:val="baj"/>
                <w:rFonts w:ascii="Arial" w:hAnsi="Arial" w:cs="Arial"/>
                <w:b/>
                <w:bCs/>
                <w:sz w:val="20"/>
                <w:szCs w:val="22"/>
              </w:rPr>
              <w:t>PARÁGRAFO 1o.</w:t>
            </w:r>
            <w:r w:rsidRPr="005377EC">
              <w:rPr>
                <w:rFonts w:ascii="Arial" w:hAnsi="Arial" w:cs="Arial"/>
                <w:sz w:val="20"/>
                <w:szCs w:val="22"/>
              </w:rPr>
              <w:t> El Gobierno Nacional presentará un informe anual al Congreso de la República detallado sobre el desarrollo e implementación de la presente ley, así como el objeto cumplido de las facultades implementadas.</w:t>
            </w:r>
          </w:p>
          <w:p w:rsidR="00187271" w:rsidRPr="005377EC" w:rsidRDefault="00187271" w:rsidP="00187271">
            <w:pPr>
              <w:pStyle w:val="NormalWeb"/>
              <w:spacing w:line="270" w:lineRule="atLeast"/>
              <w:jc w:val="both"/>
              <w:rPr>
                <w:rFonts w:ascii="Arial" w:hAnsi="Arial" w:cs="Arial"/>
                <w:b/>
                <w:sz w:val="20"/>
                <w:szCs w:val="22"/>
              </w:rPr>
            </w:pPr>
            <w:r w:rsidRPr="005377EC">
              <w:rPr>
                <w:rStyle w:val="baj"/>
                <w:rFonts w:ascii="Arial" w:hAnsi="Arial" w:cs="Arial"/>
                <w:b/>
                <w:bCs/>
                <w:sz w:val="20"/>
                <w:szCs w:val="22"/>
              </w:rPr>
              <w:t>PARÁGRAFO 2o.</w:t>
            </w:r>
            <w:r w:rsidRPr="005377EC">
              <w:rPr>
                <w:rFonts w:ascii="Arial" w:hAnsi="Arial" w:cs="Arial"/>
                <w:sz w:val="20"/>
                <w:szCs w:val="22"/>
              </w:rPr>
              <w:t xml:space="preserve"> Un año antes del </w:t>
            </w:r>
            <w:r w:rsidRPr="005377EC">
              <w:rPr>
                <w:rFonts w:ascii="Arial" w:hAnsi="Arial" w:cs="Arial"/>
                <w:sz w:val="20"/>
                <w:szCs w:val="22"/>
              </w:rPr>
              <w:lastRenderedPageBreak/>
              <w:t>vencimiento de la vigencia de esta ley, el Congreso de la República deberá pronunciarse frente a la ejecución y cumplimiento de la misma.</w:t>
            </w:r>
          </w:p>
        </w:tc>
        <w:tc>
          <w:tcPr>
            <w:tcW w:w="2410" w:type="dxa"/>
          </w:tcPr>
          <w:p w:rsidR="00187271" w:rsidRDefault="00187271" w:rsidP="00187271">
            <w:pPr>
              <w:jc w:val="both"/>
              <w:rPr>
                <w:rFonts w:ascii="Arial" w:hAnsi="Arial" w:cs="Arial"/>
                <w:sz w:val="20"/>
                <w:szCs w:val="22"/>
              </w:rPr>
            </w:pPr>
            <w:r w:rsidRPr="00187271">
              <w:rPr>
                <w:rFonts w:ascii="Arial" w:hAnsi="Arial" w:cs="Arial"/>
                <w:b/>
                <w:sz w:val="20"/>
                <w:szCs w:val="22"/>
              </w:rPr>
              <w:lastRenderedPageBreak/>
              <w:t>ARTICULO 2</w:t>
            </w:r>
            <w:r>
              <w:rPr>
                <w:rFonts w:ascii="Arial" w:hAnsi="Arial" w:cs="Arial"/>
                <w:sz w:val="20"/>
                <w:szCs w:val="22"/>
              </w:rPr>
              <w:t xml:space="preserve"> Modifíquese el Articulo 208 de la Ley 1448 de 2011, Ley de Atención y Reparación Integral a las Victimas y de Restitución de Tierras, el cual quedara así: </w:t>
            </w:r>
          </w:p>
          <w:p w:rsidR="00187271" w:rsidRDefault="00187271" w:rsidP="00187271">
            <w:pPr>
              <w:jc w:val="both"/>
              <w:rPr>
                <w:rFonts w:ascii="Arial" w:hAnsi="Arial" w:cs="Arial"/>
                <w:sz w:val="20"/>
                <w:szCs w:val="22"/>
              </w:rPr>
            </w:pPr>
          </w:p>
          <w:p w:rsidR="00187271" w:rsidRPr="005377EC" w:rsidRDefault="00187271" w:rsidP="00187271">
            <w:pPr>
              <w:jc w:val="both"/>
              <w:rPr>
                <w:rFonts w:ascii="Arial" w:hAnsi="Arial" w:cs="Arial"/>
                <w:sz w:val="20"/>
                <w:szCs w:val="22"/>
              </w:rPr>
            </w:pPr>
            <w:r w:rsidRPr="005377EC">
              <w:rPr>
                <w:rFonts w:ascii="Arial" w:hAnsi="Arial" w:cs="Arial"/>
                <w:b/>
                <w:bCs/>
                <w:sz w:val="20"/>
                <w:szCs w:val="22"/>
              </w:rPr>
              <w:t>ARTÍCULO 208. VIGENCIA Y DEROGATORIAS.</w:t>
            </w:r>
            <w:r w:rsidRPr="005377EC">
              <w:rPr>
                <w:rFonts w:ascii="Arial" w:hAnsi="Arial" w:cs="Arial"/>
                <w:sz w:val="20"/>
                <w:szCs w:val="22"/>
              </w:rPr>
              <w:t> La presente ley rige a partir de su promulgación y tendrá una vigencia de veinte (20) años, y deroga todas las disposiciones que le sean contrarias</w:t>
            </w:r>
            <w:r>
              <w:rPr>
                <w:rFonts w:ascii="Arial" w:hAnsi="Arial" w:cs="Arial"/>
                <w:sz w:val="20"/>
                <w:szCs w:val="22"/>
              </w:rPr>
              <w:t>.</w:t>
            </w:r>
          </w:p>
          <w:p w:rsidR="00187271" w:rsidRPr="005377EC" w:rsidRDefault="00187271" w:rsidP="00187271">
            <w:pPr>
              <w:jc w:val="both"/>
              <w:rPr>
                <w:rFonts w:ascii="Arial" w:hAnsi="Arial" w:cs="Arial"/>
                <w:sz w:val="20"/>
                <w:szCs w:val="22"/>
              </w:rPr>
            </w:pPr>
          </w:p>
        </w:tc>
        <w:tc>
          <w:tcPr>
            <w:tcW w:w="2268" w:type="dxa"/>
          </w:tcPr>
          <w:p w:rsidR="00187271" w:rsidRPr="005377EC" w:rsidRDefault="00187271" w:rsidP="00187271">
            <w:pPr>
              <w:jc w:val="both"/>
              <w:rPr>
                <w:rFonts w:ascii="Arial" w:hAnsi="Arial" w:cs="Arial"/>
                <w:sz w:val="20"/>
                <w:szCs w:val="22"/>
              </w:rPr>
            </w:pPr>
            <w:r w:rsidRPr="005377EC">
              <w:rPr>
                <w:rFonts w:ascii="Arial" w:hAnsi="Arial" w:cs="Arial"/>
                <w:b/>
                <w:sz w:val="20"/>
                <w:szCs w:val="22"/>
              </w:rPr>
              <w:t>ARTÍCULO 2º.</w:t>
            </w:r>
            <w:r w:rsidRPr="005377EC">
              <w:rPr>
                <w:rFonts w:ascii="Arial" w:hAnsi="Arial" w:cs="Arial"/>
                <w:sz w:val="20"/>
                <w:szCs w:val="22"/>
              </w:rPr>
              <w:t xml:space="preserve"> Modifíquese el artículo 208 de la Ley 1448 de 2011, así: </w:t>
            </w:r>
            <w:r w:rsidRPr="005377EC">
              <w:rPr>
                <w:rFonts w:ascii="Arial" w:hAnsi="Arial" w:cs="Arial"/>
                <w:b/>
                <w:bCs/>
                <w:sz w:val="20"/>
                <w:szCs w:val="22"/>
              </w:rPr>
              <w:t>ARTÍCULO 208. VIGENCIA Y DEROGATORIAS.</w:t>
            </w:r>
            <w:r w:rsidRPr="005377EC">
              <w:rPr>
                <w:rFonts w:ascii="Arial" w:hAnsi="Arial" w:cs="Arial"/>
                <w:sz w:val="20"/>
                <w:szCs w:val="22"/>
              </w:rPr>
              <w:t> La presente ley rige a partir de su promulgación y tendrá una vigencia de veinte (20) años, y deroga todas las disposiciones que le sean contrarias, en particular los artículos 50, 51, 52 y 53 de la Ley 975 de 2005.</w:t>
            </w:r>
          </w:p>
          <w:p w:rsidR="00187271" w:rsidRPr="005377EC" w:rsidRDefault="00187271" w:rsidP="00187271">
            <w:pPr>
              <w:pStyle w:val="NormalWeb"/>
              <w:spacing w:line="270" w:lineRule="atLeast"/>
              <w:jc w:val="both"/>
              <w:rPr>
                <w:rFonts w:ascii="Arial" w:hAnsi="Arial" w:cs="Arial"/>
                <w:sz w:val="20"/>
                <w:szCs w:val="22"/>
              </w:rPr>
            </w:pPr>
            <w:r w:rsidRPr="005377EC">
              <w:rPr>
                <w:rStyle w:val="baj"/>
                <w:rFonts w:ascii="Arial" w:hAnsi="Arial" w:cs="Arial"/>
                <w:b/>
                <w:bCs/>
                <w:sz w:val="20"/>
                <w:szCs w:val="22"/>
              </w:rPr>
              <w:t>PARÁGRAFO 1o.</w:t>
            </w:r>
            <w:r w:rsidRPr="005377EC">
              <w:rPr>
                <w:rFonts w:ascii="Arial" w:hAnsi="Arial" w:cs="Arial"/>
                <w:sz w:val="20"/>
                <w:szCs w:val="22"/>
              </w:rPr>
              <w:t> El Gobierno Nacional presentará un informe anual al Congreso de la República detallado sobre el desarrollo e implementación de la presente ley, así como el objeto cumplido de las facultades implementadas.</w:t>
            </w:r>
          </w:p>
          <w:p w:rsidR="00187271" w:rsidRPr="005377EC" w:rsidRDefault="00187271" w:rsidP="00187271">
            <w:pPr>
              <w:pStyle w:val="NormalWeb"/>
              <w:spacing w:line="270" w:lineRule="atLeast"/>
              <w:jc w:val="both"/>
              <w:rPr>
                <w:rFonts w:ascii="Arial" w:hAnsi="Arial" w:cs="Arial"/>
                <w:b/>
                <w:sz w:val="20"/>
                <w:szCs w:val="22"/>
              </w:rPr>
            </w:pPr>
            <w:r w:rsidRPr="005377EC">
              <w:rPr>
                <w:rStyle w:val="baj"/>
                <w:rFonts w:ascii="Arial" w:hAnsi="Arial" w:cs="Arial"/>
                <w:b/>
                <w:bCs/>
                <w:sz w:val="20"/>
                <w:szCs w:val="22"/>
              </w:rPr>
              <w:t>PARÁGRAFO 2o.</w:t>
            </w:r>
            <w:r w:rsidRPr="005377EC">
              <w:rPr>
                <w:rFonts w:ascii="Arial" w:hAnsi="Arial" w:cs="Arial"/>
                <w:sz w:val="20"/>
                <w:szCs w:val="22"/>
              </w:rPr>
              <w:t xml:space="preserve"> Un año antes del </w:t>
            </w:r>
            <w:r w:rsidRPr="005377EC">
              <w:rPr>
                <w:rFonts w:ascii="Arial" w:hAnsi="Arial" w:cs="Arial"/>
                <w:sz w:val="20"/>
                <w:szCs w:val="22"/>
              </w:rPr>
              <w:lastRenderedPageBreak/>
              <w:t>vencimiento de la vigencia de esta ley, el Congreso de la República deberá pronunciarse frente a la ejecución y cumplimiento de la misma.</w:t>
            </w:r>
          </w:p>
        </w:tc>
        <w:tc>
          <w:tcPr>
            <w:tcW w:w="2130" w:type="dxa"/>
          </w:tcPr>
          <w:p w:rsidR="00187271" w:rsidRPr="005377EC" w:rsidRDefault="00187271" w:rsidP="00187271">
            <w:pPr>
              <w:jc w:val="both"/>
              <w:rPr>
                <w:rFonts w:ascii="Arial" w:hAnsi="Arial" w:cs="Arial"/>
                <w:color w:val="000000" w:themeColor="text1"/>
                <w:sz w:val="20"/>
                <w:szCs w:val="22"/>
              </w:rPr>
            </w:pPr>
          </w:p>
        </w:tc>
      </w:tr>
      <w:tr w:rsidR="00187271" w:rsidRPr="005377EC" w:rsidTr="005377EC">
        <w:tc>
          <w:tcPr>
            <w:tcW w:w="2263" w:type="dxa"/>
          </w:tcPr>
          <w:p w:rsidR="00187271" w:rsidRPr="005377EC" w:rsidRDefault="00187271" w:rsidP="00187271">
            <w:pPr>
              <w:jc w:val="both"/>
              <w:rPr>
                <w:rFonts w:ascii="Arial" w:hAnsi="Arial" w:cs="Arial"/>
                <w:color w:val="000000" w:themeColor="text1"/>
                <w:sz w:val="20"/>
              </w:rPr>
            </w:pPr>
          </w:p>
        </w:tc>
        <w:tc>
          <w:tcPr>
            <w:tcW w:w="2410" w:type="dxa"/>
          </w:tcPr>
          <w:p w:rsidR="00187271" w:rsidRDefault="00187271" w:rsidP="00187271">
            <w:pPr>
              <w:jc w:val="both"/>
              <w:rPr>
                <w:rFonts w:ascii="Arial" w:hAnsi="Arial" w:cs="Arial"/>
                <w:sz w:val="20"/>
                <w:szCs w:val="22"/>
              </w:rPr>
            </w:pPr>
            <w:r w:rsidRPr="005377EC">
              <w:rPr>
                <w:rFonts w:ascii="Arial" w:hAnsi="Arial" w:cs="Arial"/>
                <w:b/>
                <w:sz w:val="20"/>
                <w:szCs w:val="22"/>
              </w:rPr>
              <w:t xml:space="preserve">Articulo </w:t>
            </w:r>
            <w:r>
              <w:rPr>
                <w:rFonts w:ascii="Arial" w:hAnsi="Arial" w:cs="Arial"/>
                <w:b/>
                <w:sz w:val="20"/>
                <w:szCs w:val="22"/>
              </w:rPr>
              <w:t>3</w:t>
            </w:r>
            <w:r w:rsidRPr="005377EC">
              <w:rPr>
                <w:rFonts w:ascii="Arial" w:hAnsi="Arial" w:cs="Arial"/>
                <w:sz w:val="20"/>
                <w:szCs w:val="22"/>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rsidR="00187271" w:rsidRDefault="00187271" w:rsidP="00187271">
            <w:pPr>
              <w:jc w:val="both"/>
              <w:rPr>
                <w:rFonts w:ascii="Arial" w:hAnsi="Arial" w:cs="Arial"/>
                <w:sz w:val="20"/>
                <w:szCs w:val="22"/>
              </w:rPr>
            </w:pPr>
          </w:p>
          <w:p w:rsidR="00187271" w:rsidRPr="005377EC" w:rsidRDefault="00187271" w:rsidP="00187271">
            <w:pPr>
              <w:jc w:val="both"/>
              <w:rPr>
                <w:rFonts w:ascii="Arial" w:hAnsi="Arial" w:cs="Arial"/>
                <w:color w:val="000000" w:themeColor="text1"/>
                <w:sz w:val="20"/>
                <w:szCs w:val="22"/>
              </w:rPr>
            </w:pPr>
            <w:r w:rsidRPr="005377EC">
              <w:rPr>
                <w:rFonts w:ascii="Arial" w:eastAsia="Courier New" w:hAnsi="Arial" w:cs="Arial"/>
                <w:b/>
                <w:sz w:val="20"/>
                <w:szCs w:val="22"/>
              </w:rPr>
              <w:t>Artículo 194. VIGENCIA Y DEROGATORIAS</w:t>
            </w:r>
            <w:r w:rsidRPr="005377EC">
              <w:rPr>
                <w:rFonts w:ascii="Arial" w:eastAsia="Courier New" w:hAnsi="Arial" w:cs="Arial"/>
                <w:sz w:val="20"/>
                <w:szCs w:val="22"/>
              </w:rPr>
              <w:t xml:space="preserve">. El presente Decreto </w:t>
            </w:r>
            <w:r w:rsidRPr="005377EC">
              <w:rPr>
                <w:rFonts w:ascii="Arial" w:hAnsi="Arial" w:cs="Arial"/>
                <w:sz w:val="20"/>
                <w:szCs w:val="22"/>
              </w:rPr>
              <w:t>Ley rige a partir de su promulgación, tendrá una vigencia de 20 años y deroga todas las disposiciones que le sean contrarias.</w:t>
            </w:r>
          </w:p>
        </w:tc>
        <w:tc>
          <w:tcPr>
            <w:tcW w:w="2268" w:type="dxa"/>
          </w:tcPr>
          <w:p w:rsidR="00187271" w:rsidRDefault="00187271" w:rsidP="00187271">
            <w:pPr>
              <w:jc w:val="both"/>
              <w:rPr>
                <w:rFonts w:ascii="Arial" w:hAnsi="Arial" w:cs="Arial"/>
                <w:sz w:val="20"/>
                <w:szCs w:val="22"/>
              </w:rPr>
            </w:pPr>
            <w:r w:rsidRPr="005377EC">
              <w:rPr>
                <w:rFonts w:ascii="Arial" w:hAnsi="Arial" w:cs="Arial"/>
                <w:b/>
                <w:sz w:val="20"/>
                <w:szCs w:val="22"/>
              </w:rPr>
              <w:t xml:space="preserve">Articulo </w:t>
            </w:r>
            <w:r>
              <w:rPr>
                <w:rFonts w:ascii="Arial" w:hAnsi="Arial" w:cs="Arial"/>
                <w:b/>
                <w:sz w:val="20"/>
                <w:szCs w:val="22"/>
              </w:rPr>
              <w:t>3</w:t>
            </w:r>
            <w:r w:rsidRPr="005377EC">
              <w:rPr>
                <w:rFonts w:ascii="Arial" w:hAnsi="Arial" w:cs="Arial"/>
                <w:sz w:val="20"/>
                <w:szCs w:val="22"/>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rsidR="00187271" w:rsidRDefault="00187271" w:rsidP="00187271">
            <w:pPr>
              <w:jc w:val="both"/>
              <w:rPr>
                <w:rFonts w:ascii="Arial" w:hAnsi="Arial" w:cs="Arial"/>
                <w:sz w:val="20"/>
                <w:szCs w:val="22"/>
              </w:rPr>
            </w:pPr>
          </w:p>
          <w:p w:rsidR="00187271" w:rsidRPr="005377EC" w:rsidRDefault="00187271" w:rsidP="00187271">
            <w:pPr>
              <w:jc w:val="both"/>
              <w:rPr>
                <w:rFonts w:ascii="Arial" w:hAnsi="Arial" w:cs="Arial"/>
                <w:color w:val="000000" w:themeColor="text1"/>
                <w:sz w:val="20"/>
                <w:szCs w:val="22"/>
              </w:rPr>
            </w:pPr>
            <w:r w:rsidRPr="005377EC">
              <w:rPr>
                <w:rFonts w:ascii="Arial" w:eastAsia="Courier New" w:hAnsi="Arial" w:cs="Arial"/>
                <w:b/>
                <w:sz w:val="20"/>
                <w:szCs w:val="22"/>
              </w:rPr>
              <w:t>Artículo 194. VIGENCIA Y DEROGATORIAS</w:t>
            </w:r>
            <w:r w:rsidRPr="005377EC">
              <w:rPr>
                <w:rFonts w:ascii="Arial" w:eastAsia="Courier New" w:hAnsi="Arial" w:cs="Arial"/>
                <w:sz w:val="20"/>
                <w:szCs w:val="22"/>
              </w:rPr>
              <w:t xml:space="preserve">. El presente Decreto </w:t>
            </w:r>
            <w:r w:rsidRPr="005377EC">
              <w:rPr>
                <w:rFonts w:ascii="Arial" w:hAnsi="Arial" w:cs="Arial"/>
                <w:sz w:val="20"/>
                <w:szCs w:val="22"/>
              </w:rPr>
              <w:t>Ley rige a partir de su promulgación, tendrá una vigencia de 20 años y deroga todas las disposiciones que le sean contrarias.</w:t>
            </w:r>
          </w:p>
        </w:tc>
        <w:tc>
          <w:tcPr>
            <w:tcW w:w="2130" w:type="dxa"/>
          </w:tcPr>
          <w:p w:rsidR="00187271" w:rsidRPr="005377EC" w:rsidRDefault="00187271" w:rsidP="00187271">
            <w:pPr>
              <w:jc w:val="both"/>
              <w:rPr>
                <w:rFonts w:ascii="Arial" w:hAnsi="Arial" w:cs="Arial"/>
                <w:color w:val="000000" w:themeColor="text1"/>
                <w:sz w:val="20"/>
              </w:rPr>
            </w:pPr>
            <w:r w:rsidRPr="005377EC">
              <w:rPr>
                <w:rFonts w:ascii="Arial" w:hAnsi="Arial" w:cs="Arial"/>
                <w:color w:val="000000" w:themeColor="text1"/>
                <w:sz w:val="20"/>
                <w:szCs w:val="22"/>
              </w:rPr>
              <w:t xml:space="preserve">Luego la acumulación con el </w:t>
            </w:r>
            <w:r w:rsidR="00A65DA3">
              <w:rPr>
                <w:rFonts w:ascii="Arial" w:hAnsi="Arial" w:cs="Arial"/>
                <w:color w:val="000000" w:themeColor="text1"/>
                <w:sz w:val="20"/>
                <w:szCs w:val="22"/>
              </w:rPr>
              <w:t>Pro</w:t>
            </w:r>
            <w:r w:rsidR="00983D0B">
              <w:rPr>
                <w:rFonts w:ascii="Arial" w:hAnsi="Arial" w:cs="Arial"/>
                <w:color w:val="000000" w:themeColor="text1"/>
                <w:sz w:val="20"/>
                <w:szCs w:val="22"/>
              </w:rPr>
              <w:t>yecto de Ley 247 de 2019 Cámara</w:t>
            </w:r>
            <w:r w:rsidR="00A65DA3">
              <w:rPr>
                <w:rFonts w:ascii="Arial" w:hAnsi="Arial" w:cs="Arial"/>
                <w:color w:val="000000" w:themeColor="text1"/>
                <w:sz w:val="20"/>
                <w:szCs w:val="22"/>
              </w:rPr>
              <w:t xml:space="preserve"> </w:t>
            </w:r>
            <w:r w:rsidRPr="005377EC">
              <w:rPr>
                <w:rFonts w:ascii="Arial" w:hAnsi="Arial" w:cs="Arial"/>
                <w:color w:val="000000" w:themeColor="text1"/>
                <w:sz w:val="20"/>
                <w:szCs w:val="22"/>
              </w:rPr>
              <w:t>de la HR María José Pizarro, de las intervenciones del Coordinador de la Mesa Nacional de Victimas,  Codhes y de los coordinadores de ponentes se consideró aprobar esta modificación</w:t>
            </w:r>
          </w:p>
        </w:tc>
      </w:tr>
      <w:tr w:rsidR="00187271" w:rsidRPr="005377EC" w:rsidTr="005377EC">
        <w:tc>
          <w:tcPr>
            <w:tcW w:w="2263" w:type="dxa"/>
          </w:tcPr>
          <w:p w:rsidR="00187271" w:rsidRPr="005377EC" w:rsidRDefault="00187271" w:rsidP="00187271">
            <w:pPr>
              <w:jc w:val="both"/>
              <w:rPr>
                <w:rFonts w:ascii="Arial" w:hAnsi="Arial" w:cs="Arial"/>
                <w:color w:val="000000" w:themeColor="text1"/>
                <w:sz w:val="20"/>
              </w:rPr>
            </w:pPr>
          </w:p>
        </w:tc>
        <w:tc>
          <w:tcPr>
            <w:tcW w:w="2410" w:type="dxa"/>
          </w:tcPr>
          <w:p w:rsidR="00187271" w:rsidRPr="005377EC" w:rsidRDefault="00983D0B" w:rsidP="00187271">
            <w:pPr>
              <w:jc w:val="both"/>
              <w:rPr>
                <w:rFonts w:ascii="Arial" w:hAnsi="Arial" w:cs="Arial"/>
                <w:color w:val="000000" w:themeColor="text1"/>
                <w:sz w:val="20"/>
                <w:szCs w:val="22"/>
              </w:rPr>
            </w:pPr>
            <w:r w:rsidRPr="005377EC">
              <w:rPr>
                <w:rFonts w:ascii="Arial" w:hAnsi="Arial" w:cs="Arial"/>
                <w:b/>
                <w:sz w:val="20"/>
                <w:szCs w:val="22"/>
              </w:rPr>
              <w:t>Artículo</w:t>
            </w:r>
            <w:r w:rsidR="00187271" w:rsidRPr="005377EC">
              <w:rPr>
                <w:rFonts w:ascii="Arial" w:hAnsi="Arial" w:cs="Arial"/>
                <w:b/>
                <w:sz w:val="20"/>
                <w:szCs w:val="22"/>
              </w:rPr>
              <w:t xml:space="preserve"> </w:t>
            </w:r>
            <w:r w:rsidR="00187271">
              <w:rPr>
                <w:rFonts w:ascii="Arial" w:hAnsi="Arial" w:cs="Arial"/>
                <w:b/>
                <w:sz w:val="20"/>
                <w:szCs w:val="22"/>
              </w:rPr>
              <w:t>4</w:t>
            </w:r>
            <w:r w:rsidR="00187271" w:rsidRPr="005377EC">
              <w:rPr>
                <w:rFonts w:ascii="Arial" w:hAnsi="Arial" w:cs="Arial"/>
                <w:b/>
                <w:sz w:val="20"/>
                <w:szCs w:val="22"/>
              </w:rPr>
              <w:t>.</w:t>
            </w:r>
            <w:r w:rsidR="00187271" w:rsidRPr="005377EC">
              <w:rPr>
                <w:rFonts w:ascii="Arial" w:hAnsi="Arial" w:cs="Arial"/>
                <w:sz w:val="20"/>
                <w:szCs w:val="22"/>
              </w:rPr>
              <w:t xml:space="preserve"> Modifíquese el artículo 123 del Decreto Ley 4634 de 2011, Decreto por el </w:t>
            </w:r>
            <w:r w:rsidR="00187271" w:rsidRPr="005377EC">
              <w:rPr>
                <w:rFonts w:ascii="Arial" w:eastAsia="Courier New" w:hAnsi="Arial" w:cs="Arial"/>
                <w:sz w:val="20"/>
                <w:szCs w:val="22"/>
              </w:rPr>
              <w:t xml:space="preserve">cual se dictan medidas de Asistencia, Atención, Reparación Integral y Restitución de </w:t>
            </w:r>
            <w:r w:rsidR="00187271" w:rsidRPr="005377EC">
              <w:rPr>
                <w:rFonts w:ascii="Arial" w:hAnsi="Arial" w:cs="Arial"/>
                <w:sz w:val="20"/>
                <w:szCs w:val="22"/>
              </w:rPr>
              <w:t xml:space="preserve">Tierras a las víctimas pertenecientes al pueblo Rrom o Gitano, el cual quedará así: </w:t>
            </w:r>
            <w:r w:rsidR="00187271" w:rsidRPr="005377EC">
              <w:rPr>
                <w:rFonts w:ascii="Arial" w:eastAsia="Courier New" w:hAnsi="Arial" w:cs="Arial"/>
                <w:b/>
                <w:sz w:val="20"/>
                <w:szCs w:val="22"/>
              </w:rPr>
              <w:t>Artículo 123. VIGENCIA Y DEROGATORIAS</w:t>
            </w:r>
            <w:r w:rsidR="00187271" w:rsidRPr="005377EC">
              <w:rPr>
                <w:rFonts w:ascii="Arial" w:eastAsia="Courier New" w:hAnsi="Arial" w:cs="Arial"/>
                <w:sz w:val="20"/>
                <w:szCs w:val="22"/>
              </w:rPr>
              <w:t xml:space="preserve">. El presente Decreto rige a partir de su </w:t>
            </w:r>
            <w:r w:rsidR="00187271" w:rsidRPr="005377EC">
              <w:rPr>
                <w:rFonts w:ascii="Arial" w:hAnsi="Arial" w:cs="Arial"/>
                <w:sz w:val="20"/>
                <w:szCs w:val="22"/>
              </w:rPr>
              <w:t xml:space="preserve">publicación, tendrá una vigencia de 20 años, y deroga todas las disposiciones que le </w:t>
            </w:r>
            <w:r w:rsidR="00187271" w:rsidRPr="005377EC">
              <w:rPr>
                <w:rFonts w:ascii="Arial" w:eastAsia="Courier New" w:hAnsi="Arial" w:cs="Arial"/>
                <w:sz w:val="20"/>
                <w:szCs w:val="22"/>
              </w:rPr>
              <w:t>sean contrarias.</w:t>
            </w:r>
          </w:p>
        </w:tc>
        <w:tc>
          <w:tcPr>
            <w:tcW w:w="2268" w:type="dxa"/>
          </w:tcPr>
          <w:p w:rsidR="00187271" w:rsidRPr="005377EC" w:rsidRDefault="00983D0B" w:rsidP="00187271">
            <w:pPr>
              <w:jc w:val="both"/>
              <w:rPr>
                <w:rFonts w:ascii="Arial" w:hAnsi="Arial" w:cs="Arial"/>
                <w:color w:val="000000" w:themeColor="text1"/>
                <w:sz w:val="20"/>
                <w:szCs w:val="22"/>
              </w:rPr>
            </w:pPr>
            <w:r w:rsidRPr="005377EC">
              <w:rPr>
                <w:rFonts w:ascii="Arial" w:hAnsi="Arial" w:cs="Arial"/>
                <w:b/>
                <w:sz w:val="20"/>
                <w:szCs w:val="22"/>
              </w:rPr>
              <w:t>Artículo</w:t>
            </w:r>
            <w:r w:rsidR="00187271" w:rsidRPr="005377EC">
              <w:rPr>
                <w:rFonts w:ascii="Arial" w:hAnsi="Arial" w:cs="Arial"/>
                <w:b/>
                <w:sz w:val="20"/>
                <w:szCs w:val="22"/>
              </w:rPr>
              <w:t xml:space="preserve"> </w:t>
            </w:r>
            <w:r w:rsidR="00187271">
              <w:rPr>
                <w:rFonts w:ascii="Arial" w:hAnsi="Arial" w:cs="Arial"/>
                <w:b/>
                <w:sz w:val="20"/>
                <w:szCs w:val="22"/>
              </w:rPr>
              <w:t>4</w:t>
            </w:r>
            <w:r w:rsidR="00187271" w:rsidRPr="005377EC">
              <w:rPr>
                <w:rFonts w:ascii="Arial" w:hAnsi="Arial" w:cs="Arial"/>
                <w:b/>
                <w:sz w:val="20"/>
                <w:szCs w:val="22"/>
              </w:rPr>
              <w:t>.</w:t>
            </w:r>
            <w:r w:rsidR="00187271" w:rsidRPr="005377EC">
              <w:rPr>
                <w:rFonts w:ascii="Arial" w:hAnsi="Arial" w:cs="Arial"/>
                <w:sz w:val="20"/>
                <w:szCs w:val="22"/>
              </w:rPr>
              <w:t xml:space="preserve"> Modifíquese el artículo 123 del Decreto Ley 4634 de 2011, Decreto por el </w:t>
            </w:r>
            <w:r w:rsidR="00187271" w:rsidRPr="005377EC">
              <w:rPr>
                <w:rFonts w:ascii="Arial" w:eastAsia="Courier New" w:hAnsi="Arial" w:cs="Arial"/>
                <w:sz w:val="20"/>
                <w:szCs w:val="22"/>
              </w:rPr>
              <w:t xml:space="preserve">cual se dictan medidas de Asistencia, Atención, Reparación Integral y Restitución de </w:t>
            </w:r>
            <w:r w:rsidR="00187271" w:rsidRPr="005377EC">
              <w:rPr>
                <w:rFonts w:ascii="Arial" w:hAnsi="Arial" w:cs="Arial"/>
                <w:sz w:val="20"/>
                <w:szCs w:val="22"/>
              </w:rPr>
              <w:t xml:space="preserve">Tierras a las víctimas pertenecientes al pueblo Rrom o Gitano, el cual quedará así: </w:t>
            </w:r>
            <w:r w:rsidR="00187271" w:rsidRPr="005377EC">
              <w:rPr>
                <w:rFonts w:ascii="Arial" w:eastAsia="Courier New" w:hAnsi="Arial" w:cs="Arial"/>
                <w:b/>
                <w:sz w:val="20"/>
                <w:szCs w:val="22"/>
              </w:rPr>
              <w:t>Artículo 123. VIGENCIA Y DEROGATORIAS</w:t>
            </w:r>
            <w:r w:rsidR="00187271" w:rsidRPr="005377EC">
              <w:rPr>
                <w:rFonts w:ascii="Arial" w:eastAsia="Courier New" w:hAnsi="Arial" w:cs="Arial"/>
                <w:sz w:val="20"/>
                <w:szCs w:val="22"/>
              </w:rPr>
              <w:t xml:space="preserve">. El presente Decreto rige a partir de su </w:t>
            </w:r>
            <w:r w:rsidR="00187271" w:rsidRPr="005377EC">
              <w:rPr>
                <w:rFonts w:ascii="Arial" w:hAnsi="Arial" w:cs="Arial"/>
                <w:sz w:val="20"/>
                <w:szCs w:val="22"/>
              </w:rPr>
              <w:t xml:space="preserve">publicación, tendrá una vigencia de 20 años, y </w:t>
            </w:r>
            <w:r w:rsidR="00187271" w:rsidRPr="005377EC">
              <w:rPr>
                <w:rFonts w:ascii="Arial" w:hAnsi="Arial" w:cs="Arial"/>
                <w:sz w:val="20"/>
                <w:szCs w:val="22"/>
              </w:rPr>
              <w:lastRenderedPageBreak/>
              <w:t xml:space="preserve">deroga todas las disposiciones que le </w:t>
            </w:r>
            <w:r w:rsidR="00187271" w:rsidRPr="005377EC">
              <w:rPr>
                <w:rFonts w:ascii="Arial" w:eastAsia="Courier New" w:hAnsi="Arial" w:cs="Arial"/>
                <w:sz w:val="20"/>
                <w:szCs w:val="22"/>
              </w:rPr>
              <w:t>sean contrarias.</w:t>
            </w:r>
          </w:p>
        </w:tc>
        <w:tc>
          <w:tcPr>
            <w:tcW w:w="2130" w:type="dxa"/>
          </w:tcPr>
          <w:p w:rsidR="00187271" w:rsidRPr="005377EC" w:rsidRDefault="00187271" w:rsidP="00187271">
            <w:pPr>
              <w:jc w:val="both"/>
              <w:rPr>
                <w:rFonts w:ascii="Arial" w:hAnsi="Arial" w:cs="Arial"/>
                <w:color w:val="000000" w:themeColor="text1"/>
                <w:sz w:val="20"/>
              </w:rPr>
            </w:pPr>
            <w:r w:rsidRPr="005377EC">
              <w:rPr>
                <w:rFonts w:ascii="Arial" w:hAnsi="Arial" w:cs="Arial"/>
                <w:color w:val="000000" w:themeColor="text1"/>
                <w:sz w:val="20"/>
                <w:szCs w:val="22"/>
              </w:rPr>
              <w:lastRenderedPageBreak/>
              <w:t xml:space="preserve">Luego la acumulación con el </w:t>
            </w:r>
            <w:r w:rsidR="00A65DA3">
              <w:rPr>
                <w:rFonts w:ascii="Arial" w:hAnsi="Arial" w:cs="Arial"/>
                <w:color w:val="000000" w:themeColor="text1"/>
                <w:sz w:val="20"/>
                <w:szCs w:val="22"/>
              </w:rPr>
              <w:t xml:space="preserve">Proyecto de Ley 247 de 2019 Cámara </w:t>
            </w:r>
            <w:r w:rsidRPr="005377EC">
              <w:rPr>
                <w:rFonts w:ascii="Arial" w:hAnsi="Arial" w:cs="Arial"/>
                <w:color w:val="000000" w:themeColor="text1"/>
                <w:sz w:val="20"/>
                <w:szCs w:val="22"/>
              </w:rPr>
              <w:t>de la HR María José Pizarro, de las intervenciones del Coordinador de la Mesa Nacional de Victimas,  Codhes y de los coordinadores de ponentes se consideró aprobar esta modificación</w:t>
            </w:r>
          </w:p>
        </w:tc>
      </w:tr>
      <w:tr w:rsidR="00187271" w:rsidRPr="005377EC" w:rsidTr="005377EC">
        <w:trPr>
          <w:trHeight w:val="6360"/>
        </w:trPr>
        <w:tc>
          <w:tcPr>
            <w:tcW w:w="2263" w:type="dxa"/>
          </w:tcPr>
          <w:p w:rsidR="00187271" w:rsidRPr="005377EC" w:rsidRDefault="00187271" w:rsidP="00187271">
            <w:pPr>
              <w:jc w:val="both"/>
              <w:rPr>
                <w:rFonts w:ascii="Arial" w:hAnsi="Arial" w:cs="Arial"/>
                <w:color w:val="000000" w:themeColor="text1"/>
                <w:sz w:val="20"/>
              </w:rPr>
            </w:pPr>
          </w:p>
        </w:tc>
        <w:tc>
          <w:tcPr>
            <w:tcW w:w="2410" w:type="dxa"/>
          </w:tcPr>
          <w:p w:rsidR="00187271" w:rsidRDefault="00187271" w:rsidP="00187271">
            <w:pPr>
              <w:spacing w:after="336" w:line="234" w:lineRule="auto"/>
              <w:ind w:left="53" w:right="237" w:hanging="3"/>
              <w:jc w:val="both"/>
              <w:rPr>
                <w:rFonts w:ascii="Arial" w:eastAsia="Courier New" w:hAnsi="Arial" w:cs="Arial"/>
                <w:sz w:val="20"/>
                <w:szCs w:val="22"/>
              </w:rPr>
            </w:pPr>
            <w:r w:rsidRPr="005377EC">
              <w:rPr>
                <w:rFonts w:ascii="Arial" w:hAnsi="Arial" w:cs="Arial"/>
                <w:b/>
                <w:sz w:val="20"/>
                <w:szCs w:val="22"/>
              </w:rPr>
              <w:t xml:space="preserve">Articulo </w:t>
            </w:r>
            <w:r>
              <w:rPr>
                <w:rFonts w:ascii="Arial" w:hAnsi="Arial" w:cs="Arial"/>
                <w:b/>
                <w:sz w:val="20"/>
                <w:szCs w:val="22"/>
              </w:rPr>
              <w:t>5</w:t>
            </w:r>
            <w:r w:rsidRPr="005377EC">
              <w:rPr>
                <w:rFonts w:ascii="Arial" w:hAnsi="Arial" w:cs="Arial"/>
                <w:sz w:val="20"/>
                <w:szCs w:val="22"/>
              </w:rPr>
              <w:t xml:space="preserve"> Modifíquese el artículo 156 del Decreto Ley 4635 de 2011, Decreto por el cual se dictan medidas de asistencia, atención, reparación integral y de restitución de tierras a las víctimas pertenecientes a comunidades negras, afrocolombianas, raizales </w:t>
            </w:r>
            <w:r w:rsidRPr="005377EC">
              <w:rPr>
                <w:rFonts w:ascii="Arial" w:eastAsia="Courier New" w:hAnsi="Arial" w:cs="Arial"/>
                <w:sz w:val="20"/>
                <w:szCs w:val="22"/>
              </w:rPr>
              <w:t xml:space="preserve">y palenqueras, el cual quedará así: </w:t>
            </w:r>
          </w:p>
          <w:p w:rsidR="00187271" w:rsidRPr="005377EC" w:rsidRDefault="00187271" w:rsidP="00187271">
            <w:pPr>
              <w:spacing w:after="336" w:line="234" w:lineRule="auto"/>
              <w:ind w:left="53" w:right="237" w:hanging="3"/>
              <w:jc w:val="both"/>
              <w:rPr>
                <w:rFonts w:ascii="Arial" w:hAnsi="Arial" w:cs="Arial"/>
                <w:color w:val="000000" w:themeColor="text1"/>
                <w:sz w:val="20"/>
                <w:szCs w:val="22"/>
              </w:rPr>
            </w:pPr>
            <w:r w:rsidRPr="005377EC">
              <w:rPr>
                <w:rFonts w:ascii="Arial" w:hAnsi="Arial" w:cs="Arial"/>
                <w:b/>
                <w:sz w:val="20"/>
                <w:szCs w:val="22"/>
              </w:rPr>
              <w:t>Artículo 156. VIGENCIA Y DEROGATORIAS</w:t>
            </w:r>
            <w:r w:rsidRPr="005377EC">
              <w:rPr>
                <w:rFonts w:ascii="Arial" w:hAnsi="Arial" w:cs="Arial"/>
                <w:sz w:val="20"/>
                <w:szCs w:val="22"/>
              </w:rPr>
              <w:t>. El presente Decreto rige a partir de su promulgación, tendrá una vigencia de 20 años, y deroga todas las disposiciones que le sean contrarias.</w:t>
            </w:r>
          </w:p>
        </w:tc>
        <w:tc>
          <w:tcPr>
            <w:tcW w:w="2268" w:type="dxa"/>
          </w:tcPr>
          <w:p w:rsidR="00187271" w:rsidRDefault="00187271" w:rsidP="00187271">
            <w:pPr>
              <w:jc w:val="both"/>
              <w:rPr>
                <w:rFonts w:ascii="Arial" w:eastAsia="Courier New" w:hAnsi="Arial" w:cs="Arial"/>
                <w:sz w:val="20"/>
                <w:szCs w:val="22"/>
              </w:rPr>
            </w:pPr>
            <w:r w:rsidRPr="005377EC">
              <w:rPr>
                <w:rFonts w:ascii="Arial" w:hAnsi="Arial" w:cs="Arial"/>
                <w:b/>
                <w:sz w:val="20"/>
                <w:szCs w:val="22"/>
              </w:rPr>
              <w:t xml:space="preserve">Articulo </w:t>
            </w:r>
            <w:r>
              <w:rPr>
                <w:rFonts w:ascii="Arial" w:hAnsi="Arial" w:cs="Arial"/>
                <w:b/>
                <w:sz w:val="20"/>
                <w:szCs w:val="22"/>
              </w:rPr>
              <w:t>5</w:t>
            </w:r>
            <w:r w:rsidRPr="005377EC">
              <w:rPr>
                <w:rFonts w:ascii="Arial" w:hAnsi="Arial" w:cs="Arial"/>
                <w:sz w:val="20"/>
                <w:szCs w:val="22"/>
              </w:rPr>
              <w:t xml:space="preserve"> Modifíquese el artículo 156 del Decreto Ley 4635 de 2011, Decreto por el cual se dictan medidas de asistencia, atención, reparación integral y de restitución de tierras a las víctimas pertenecientes a comunidades negras, afrocolombianas, raizales </w:t>
            </w:r>
            <w:r w:rsidRPr="005377EC">
              <w:rPr>
                <w:rFonts w:ascii="Arial" w:eastAsia="Courier New" w:hAnsi="Arial" w:cs="Arial"/>
                <w:sz w:val="20"/>
                <w:szCs w:val="22"/>
              </w:rPr>
              <w:t xml:space="preserve">y palenqueras, el cual quedará así: </w:t>
            </w:r>
          </w:p>
          <w:p w:rsidR="00187271" w:rsidRDefault="00187271" w:rsidP="00187271">
            <w:pPr>
              <w:jc w:val="both"/>
              <w:rPr>
                <w:rFonts w:ascii="Arial" w:eastAsia="Courier New" w:hAnsi="Arial" w:cs="Arial"/>
                <w:sz w:val="20"/>
                <w:szCs w:val="22"/>
              </w:rPr>
            </w:pPr>
          </w:p>
          <w:p w:rsidR="00187271" w:rsidRPr="005377EC" w:rsidRDefault="00187271" w:rsidP="00187271">
            <w:pPr>
              <w:jc w:val="both"/>
              <w:rPr>
                <w:rFonts w:ascii="Arial" w:hAnsi="Arial" w:cs="Arial"/>
                <w:color w:val="000000" w:themeColor="text1"/>
                <w:sz w:val="20"/>
                <w:szCs w:val="22"/>
              </w:rPr>
            </w:pPr>
            <w:r w:rsidRPr="005377EC">
              <w:rPr>
                <w:rFonts w:ascii="Arial" w:hAnsi="Arial" w:cs="Arial"/>
                <w:b/>
                <w:sz w:val="20"/>
                <w:szCs w:val="22"/>
              </w:rPr>
              <w:t>Artículo 156. VIGENCIA Y DEROGATORIAS</w:t>
            </w:r>
            <w:r w:rsidRPr="005377EC">
              <w:rPr>
                <w:rFonts w:ascii="Arial" w:hAnsi="Arial" w:cs="Arial"/>
                <w:sz w:val="20"/>
                <w:szCs w:val="22"/>
              </w:rPr>
              <w:t>. El presente Decreto rige a partir de su promulgación, tendrá una vigencia de 20 años, y deroga todas las disposiciones que le sean contrarias.</w:t>
            </w:r>
          </w:p>
        </w:tc>
        <w:tc>
          <w:tcPr>
            <w:tcW w:w="2130" w:type="dxa"/>
          </w:tcPr>
          <w:p w:rsidR="00187271" w:rsidRPr="005377EC" w:rsidRDefault="00187271" w:rsidP="00187271">
            <w:pPr>
              <w:jc w:val="both"/>
              <w:rPr>
                <w:rFonts w:ascii="Arial" w:hAnsi="Arial" w:cs="Arial"/>
                <w:color w:val="000000" w:themeColor="text1"/>
                <w:sz w:val="20"/>
              </w:rPr>
            </w:pPr>
            <w:r w:rsidRPr="005377EC">
              <w:rPr>
                <w:rFonts w:ascii="Arial" w:hAnsi="Arial" w:cs="Arial"/>
                <w:color w:val="000000" w:themeColor="text1"/>
                <w:sz w:val="20"/>
                <w:szCs w:val="22"/>
              </w:rPr>
              <w:t xml:space="preserve">Luego la acumulación con el </w:t>
            </w:r>
            <w:r w:rsidR="00A65DA3">
              <w:rPr>
                <w:rFonts w:ascii="Arial" w:hAnsi="Arial" w:cs="Arial"/>
                <w:color w:val="000000" w:themeColor="text1"/>
                <w:sz w:val="20"/>
                <w:szCs w:val="22"/>
              </w:rPr>
              <w:t xml:space="preserve">Proyecto de Ley 247 de 2019 Cámara </w:t>
            </w:r>
            <w:r w:rsidRPr="005377EC">
              <w:rPr>
                <w:rFonts w:ascii="Arial" w:hAnsi="Arial" w:cs="Arial"/>
                <w:color w:val="000000" w:themeColor="text1"/>
                <w:sz w:val="20"/>
                <w:szCs w:val="22"/>
              </w:rPr>
              <w:t>de la HR María José Pizarro, de las intervenciones del Coordinador de la Mesa Nacional de Victimas,  Codhes y de los coordinadores de ponentes se consideró aprobar esta modificación</w:t>
            </w:r>
          </w:p>
        </w:tc>
      </w:tr>
      <w:tr w:rsidR="00187271" w:rsidRPr="005377EC" w:rsidTr="005377EC">
        <w:tc>
          <w:tcPr>
            <w:tcW w:w="2263" w:type="dxa"/>
          </w:tcPr>
          <w:p w:rsidR="00187271" w:rsidRPr="005377EC" w:rsidRDefault="00187271" w:rsidP="00187271">
            <w:pPr>
              <w:jc w:val="both"/>
              <w:rPr>
                <w:rFonts w:ascii="Arial" w:hAnsi="Arial" w:cs="Arial"/>
                <w:color w:val="000000" w:themeColor="text1"/>
                <w:sz w:val="20"/>
              </w:rPr>
            </w:pPr>
            <w:r w:rsidRPr="005377EC">
              <w:rPr>
                <w:rFonts w:ascii="Arial" w:hAnsi="Arial" w:cs="Arial"/>
                <w:b/>
                <w:sz w:val="20"/>
                <w:szCs w:val="22"/>
              </w:rPr>
              <w:t xml:space="preserve">ARTÍCULO 3º. Vigencia. </w:t>
            </w:r>
            <w:r w:rsidRPr="005377EC">
              <w:rPr>
                <w:rFonts w:ascii="Arial" w:hAnsi="Arial" w:cs="Arial"/>
                <w:sz w:val="20"/>
                <w:szCs w:val="22"/>
              </w:rPr>
              <w:t>La presente ley rige a partir de su promulgación y deroga las disposiciones que le sean contrarias</w:t>
            </w:r>
          </w:p>
        </w:tc>
        <w:tc>
          <w:tcPr>
            <w:tcW w:w="2410" w:type="dxa"/>
          </w:tcPr>
          <w:p w:rsidR="00187271" w:rsidRPr="005377EC" w:rsidRDefault="00187271" w:rsidP="00187271">
            <w:pPr>
              <w:jc w:val="both"/>
              <w:rPr>
                <w:rFonts w:ascii="Arial" w:hAnsi="Arial" w:cs="Arial"/>
                <w:color w:val="000000" w:themeColor="text1"/>
                <w:sz w:val="20"/>
              </w:rPr>
            </w:pPr>
            <w:r w:rsidRPr="005377EC">
              <w:rPr>
                <w:rFonts w:ascii="Arial" w:hAnsi="Arial" w:cs="Arial"/>
                <w:b/>
                <w:sz w:val="20"/>
                <w:szCs w:val="22"/>
              </w:rPr>
              <w:t xml:space="preserve">ARTÍCULO </w:t>
            </w:r>
            <w:r w:rsidRPr="00187271">
              <w:rPr>
                <w:rFonts w:ascii="Arial" w:hAnsi="Arial" w:cs="Arial"/>
                <w:b/>
                <w:sz w:val="20"/>
                <w:szCs w:val="22"/>
              </w:rPr>
              <w:t>6</w:t>
            </w:r>
            <w:r w:rsidRPr="005377EC">
              <w:rPr>
                <w:rFonts w:ascii="Arial" w:hAnsi="Arial" w:cs="Arial"/>
                <w:b/>
                <w:sz w:val="20"/>
                <w:szCs w:val="22"/>
              </w:rPr>
              <w:t xml:space="preserve">º. Vigencia. </w:t>
            </w:r>
            <w:r w:rsidRPr="005377EC">
              <w:rPr>
                <w:rFonts w:ascii="Arial" w:hAnsi="Arial" w:cs="Arial"/>
                <w:sz w:val="20"/>
                <w:szCs w:val="22"/>
              </w:rPr>
              <w:t xml:space="preserve">La presente ley rige a partir de su promulgación y deroga las disposiciones que le sean contrarias.  </w:t>
            </w:r>
          </w:p>
        </w:tc>
        <w:tc>
          <w:tcPr>
            <w:tcW w:w="2268" w:type="dxa"/>
          </w:tcPr>
          <w:p w:rsidR="00187271" w:rsidRPr="005377EC" w:rsidRDefault="00187271" w:rsidP="00187271">
            <w:pPr>
              <w:jc w:val="both"/>
              <w:rPr>
                <w:rFonts w:ascii="Arial" w:hAnsi="Arial" w:cs="Arial"/>
                <w:color w:val="000000" w:themeColor="text1"/>
                <w:sz w:val="20"/>
              </w:rPr>
            </w:pPr>
            <w:r w:rsidRPr="005377EC">
              <w:rPr>
                <w:rFonts w:ascii="Arial" w:hAnsi="Arial" w:cs="Arial"/>
                <w:b/>
                <w:sz w:val="20"/>
                <w:szCs w:val="22"/>
              </w:rPr>
              <w:t xml:space="preserve">ARTÍCULO </w:t>
            </w:r>
            <w:r w:rsidRPr="00187271">
              <w:rPr>
                <w:rFonts w:ascii="Arial" w:hAnsi="Arial" w:cs="Arial"/>
                <w:b/>
                <w:sz w:val="20"/>
                <w:szCs w:val="22"/>
              </w:rPr>
              <w:t>6</w:t>
            </w:r>
            <w:r w:rsidRPr="005377EC">
              <w:rPr>
                <w:rFonts w:ascii="Arial" w:hAnsi="Arial" w:cs="Arial"/>
                <w:b/>
                <w:sz w:val="20"/>
                <w:szCs w:val="22"/>
              </w:rPr>
              <w:t xml:space="preserve">º. Vigencia. </w:t>
            </w:r>
            <w:r w:rsidRPr="005377EC">
              <w:rPr>
                <w:rFonts w:ascii="Arial" w:hAnsi="Arial" w:cs="Arial"/>
                <w:sz w:val="20"/>
                <w:szCs w:val="22"/>
              </w:rPr>
              <w:t xml:space="preserve">La presente ley rige a partir de su promulgación y deroga las disposiciones que le sean contrarias.  </w:t>
            </w:r>
          </w:p>
        </w:tc>
        <w:tc>
          <w:tcPr>
            <w:tcW w:w="2130" w:type="dxa"/>
          </w:tcPr>
          <w:p w:rsidR="00187271" w:rsidRPr="005377EC" w:rsidRDefault="00187271" w:rsidP="00187271">
            <w:pPr>
              <w:jc w:val="both"/>
              <w:rPr>
                <w:rFonts w:ascii="Arial" w:hAnsi="Arial" w:cs="Arial"/>
                <w:color w:val="000000" w:themeColor="text1"/>
                <w:sz w:val="20"/>
              </w:rPr>
            </w:pPr>
          </w:p>
        </w:tc>
      </w:tr>
    </w:tbl>
    <w:p w:rsidR="000D2CC3" w:rsidRDefault="000D2CC3" w:rsidP="00FD487C">
      <w:pPr>
        <w:spacing w:after="0" w:line="240" w:lineRule="auto"/>
        <w:jc w:val="both"/>
        <w:rPr>
          <w:rFonts w:ascii="Arial" w:hAnsi="Arial" w:cs="Arial"/>
          <w:color w:val="000000" w:themeColor="text1"/>
        </w:rPr>
      </w:pPr>
    </w:p>
    <w:p w:rsidR="000D2CC3" w:rsidRDefault="000D2CC3">
      <w:pPr>
        <w:rPr>
          <w:rFonts w:ascii="Arial" w:hAnsi="Arial" w:cs="Arial"/>
          <w:color w:val="000000" w:themeColor="text1"/>
        </w:rPr>
      </w:pPr>
      <w:r>
        <w:rPr>
          <w:rFonts w:ascii="Arial" w:hAnsi="Arial" w:cs="Arial"/>
          <w:color w:val="000000" w:themeColor="text1"/>
        </w:rPr>
        <w:br w:type="page"/>
      </w:r>
    </w:p>
    <w:p w:rsidR="00266569" w:rsidRPr="00B514AD" w:rsidRDefault="00266569" w:rsidP="00FD487C">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lastRenderedPageBreak/>
        <w:t>PROPOSICIÓN</w:t>
      </w:r>
    </w:p>
    <w:p w:rsidR="00460D46" w:rsidRPr="00B514AD" w:rsidRDefault="00460D46" w:rsidP="00FD487C">
      <w:pPr>
        <w:spacing w:after="0" w:line="240" w:lineRule="auto"/>
        <w:ind w:left="720"/>
        <w:jc w:val="both"/>
        <w:rPr>
          <w:rFonts w:ascii="Arial" w:hAnsi="Arial" w:cs="Arial"/>
          <w:color w:val="000000" w:themeColor="text1"/>
        </w:rPr>
      </w:pPr>
    </w:p>
    <w:p w:rsidR="00187271" w:rsidRPr="00162E8F" w:rsidRDefault="00411ADE" w:rsidP="00187271">
      <w:pPr>
        <w:ind w:left="142" w:hanging="1"/>
        <w:jc w:val="both"/>
        <w:rPr>
          <w:rFonts w:ascii="Arial" w:hAnsi="Arial" w:cs="Arial"/>
          <w:color w:val="000000" w:themeColor="text1"/>
        </w:rPr>
      </w:pPr>
      <w:r w:rsidRPr="00B514AD">
        <w:rPr>
          <w:rFonts w:ascii="Arial" w:hAnsi="Arial" w:cs="Arial"/>
          <w:color w:val="000000" w:themeColor="text1"/>
        </w:rPr>
        <w:t xml:space="preserve">Por las anteriores consideraciones, </w:t>
      </w:r>
      <w:r w:rsidR="008B3DB4" w:rsidRPr="00B514AD">
        <w:rPr>
          <w:rFonts w:ascii="Arial" w:hAnsi="Arial" w:cs="Arial"/>
          <w:color w:val="000000" w:themeColor="text1"/>
        </w:rPr>
        <w:t>solicit</w:t>
      </w:r>
      <w:r w:rsidR="00970955" w:rsidRPr="00B514AD">
        <w:rPr>
          <w:rFonts w:ascii="Arial" w:hAnsi="Arial" w:cs="Arial"/>
          <w:color w:val="000000" w:themeColor="text1"/>
        </w:rPr>
        <w:t>amos</w:t>
      </w:r>
      <w:r w:rsidRPr="00B514AD">
        <w:rPr>
          <w:rFonts w:ascii="Arial" w:hAnsi="Arial" w:cs="Arial"/>
          <w:color w:val="000000" w:themeColor="text1"/>
        </w:rPr>
        <w:t xml:space="preserve"> a los </w:t>
      </w:r>
      <w:r w:rsidR="00B35D57" w:rsidRPr="00B514AD">
        <w:rPr>
          <w:rFonts w:ascii="Arial" w:hAnsi="Arial" w:cs="Arial"/>
          <w:color w:val="000000" w:themeColor="text1"/>
        </w:rPr>
        <w:t>miembros de</w:t>
      </w:r>
      <w:r w:rsidRPr="00B514AD">
        <w:rPr>
          <w:rFonts w:ascii="Arial" w:hAnsi="Arial" w:cs="Arial"/>
          <w:color w:val="000000" w:themeColor="text1"/>
        </w:rPr>
        <w:t xml:space="preserve"> la </w:t>
      </w:r>
      <w:r w:rsidR="001B651E" w:rsidRPr="00B514AD">
        <w:rPr>
          <w:rFonts w:ascii="Arial" w:hAnsi="Arial" w:cs="Arial"/>
          <w:color w:val="000000" w:themeColor="text1"/>
        </w:rPr>
        <w:t xml:space="preserve">Comisión Primera </w:t>
      </w:r>
      <w:r w:rsidR="00F949C6" w:rsidRPr="00B514AD">
        <w:rPr>
          <w:rFonts w:ascii="Arial" w:hAnsi="Arial" w:cs="Arial"/>
          <w:color w:val="000000" w:themeColor="text1"/>
        </w:rPr>
        <w:t>de la Cámara de Representantes</w:t>
      </w:r>
      <w:r w:rsidR="00DC75BB" w:rsidRPr="00B514AD">
        <w:rPr>
          <w:rFonts w:ascii="Arial" w:hAnsi="Arial" w:cs="Arial"/>
          <w:color w:val="000000" w:themeColor="text1"/>
        </w:rPr>
        <w:t xml:space="preserve">, dar </w:t>
      </w:r>
      <w:r w:rsidR="001B651E" w:rsidRPr="00B514AD">
        <w:rPr>
          <w:rFonts w:ascii="Arial" w:hAnsi="Arial" w:cs="Arial"/>
          <w:color w:val="000000" w:themeColor="text1"/>
        </w:rPr>
        <w:t>primer debate</w:t>
      </w:r>
      <w:r w:rsidR="00970955" w:rsidRPr="00B514AD">
        <w:rPr>
          <w:rFonts w:ascii="Arial" w:hAnsi="Arial" w:cs="Arial"/>
          <w:color w:val="000000" w:themeColor="text1"/>
        </w:rPr>
        <w:t xml:space="preserve"> al</w:t>
      </w:r>
      <w:r w:rsidR="00DC75BB" w:rsidRPr="00B514AD">
        <w:rPr>
          <w:rFonts w:ascii="Arial" w:hAnsi="Arial" w:cs="Arial"/>
          <w:color w:val="000000" w:themeColor="text1"/>
        </w:rPr>
        <w:t xml:space="preserve"> </w:t>
      </w:r>
      <w:r w:rsidR="00970955" w:rsidRPr="00B514AD">
        <w:rPr>
          <w:rFonts w:ascii="Arial" w:hAnsi="Arial" w:cs="Arial"/>
          <w:color w:val="000000" w:themeColor="text1"/>
        </w:rPr>
        <w:t xml:space="preserve">Proyecto </w:t>
      </w:r>
      <w:r w:rsidR="00F949C6" w:rsidRPr="00B514AD">
        <w:rPr>
          <w:rFonts w:ascii="Arial" w:hAnsi="Arial" w:cs="Arial"/>
          <w:color w:val="000000" w:themeColor="text1"/>
        </w:rPr>
        <w:t xml:space="preserve">de Ley </w:t>
      </w:r>
      <w:r w:rsidR="00EA7EAF">
        <w:rPr>
          <w:rFonts w:ascii="Arial" w:hAnsi="Arial" w:cs="Arial"/>
          <w:color w:val="000000" w:themeColor="text1"/>
        </w:rPr>
        <w:t xml:space="preserve">199 de </w:t>
      </w:r>
      <w:r w:rsidR="00B4772B">
        <w:rPr>
          <w:rFonts w:ascii="Arial" w:hAnsi="Arial" w:cs="Arial"/>
          <w:color w:val="000000" w:themeColor="text1"/>
        </w:rPr>
        <w:t xml:space="preserve">2019 </w:t>
      </w:r>
      <w:r w:rsidR="00B4772B" w:rsidRPr="00B514AD">
        <w:rPr>
          <w:rFonts w:ascii="Arial" w:hAnsi="Arial" w:cs="Arial"/>
          <w:color w:val="000000" w:themeColor="text1"/>
          <w:lang w:val="es-ES_tradnl"/>
        </w:rPr>
        <w:t>“</w:t>
      </w:r>
      <w:r w:rsidR="006E02B6" w:rsidRPr="00B514AD">
        <w:rPr>
          <w:rFonts w:ascii="Arial" w:hAnsi="Arial" w:cs="Arial"/>
          <w:b/>
        </w:rPr>
        <w:t xml:space="preserve">POR MEDIO DE LA CUAL </w:t>
      </w:r>
      <w:r w:rsidR="00EA7EAF" w:rsidRPr="00B514AD">
        <w:rPr>
          <w:rFonts w:ascii="Arial" w:hAnsi="Arial" w:cs="Arial"/>
          <w:b/>
        </w:rPr>
        <w:t>MODIFICA LA LEY 1448 DE 2011</w:t>
      </w:r>
      <w:r w:rsidR="00EA7EAF">
        <w:rPr>
          <w:rFonts w:ascii="Arial" w:hAnsi="Arial" w:cs="Arial"/>
          <w:b/>
        </w:rPr>
        <w:t xml:space="preserve"> </w:t>
      </w:r>
      <w:r w:rsidR="00EA7EAF" w:rsidRPr="00B514AD">
        <w:rPr>
          <w:rFonts w:ascii="Arial" w:hAnsi="Arial" w:cs="Arial"/>
          <w:b/>
        </w:rPr>
        <w:t xml:space="preserve">AMPLIANDO POR 10 AÑOS </w:t>
      </w:r>
      <w:r w:rsidR="00343E42">
        <w:rPr>
          <w:rFonts w:ascii="Arial" w:hAnsi="Arial" w:cs="Arial"/>
          <w:b/>
        </w:rPr>
        <w:t>LA</w:t>
      </w:r>
      <w:r w:rsidR="00EA7EAF">
        <w:rPr>
          <w:rFonts w:ascii="Arial" w:hAnsi="Arial" w:cs="Arial"/>
          <w:b/>
        </w:rPr>
        <w:t xml:space="preserve"> </w:t>
      </w:r>
      <w:r w:rsidR="00EA7EAF" w:rsidRPr="00B514AD">
        <w:rPr>
          <w:rFonts w:ascii="Arial" w:hAnsi="Arial" w:cs="Arial"/>
          <w:b/>
        </w:rPr>
        <w:t>VIGENCIA</w:t>
      </w:r>
      <w:r w:rsidR="00343E42">
        <w:rPr>
          <w:rFonts w:ascii="Arial" w:hAnsi="Arial" w:cs="Arial"/>
          <w:b/>
        </w:rPr>
        <w:t xml:space="preserve"> DE LA MISMA</w:t>
      </w:r>
      <w:r w:rsidR="00343E42">
        <w:rPr>
          <w:rFonts w:ascii="Arial" w:hAnsi="Arial" w:cs="Arial"/>
          <w:color w:val="000000" w:themeColor="text1"/>
          <w:lang w:val="es-ES_tradnl"/>
        </w:rPr>
        <w:t>”</w:t>
      </w:r>
      <w:r w:rsidR="00187271">
        <w:rPr>
          <w:rFonts w:ascii="Arial" w:hAnsi="Arial" w:cs="Arial"/>
          <w:color w:val="000000" w:themeColor="text1"/>
          <w:lang w:val="es-ES_tradnl"/>
        </w:rPr>
        <w:t xml:space="preserve">, acumulado con el </w:t>
      </w:r>
      <w:r w:rsidR="00A65DA3">
        <w:rPr>
          <w:rFonts w:ascii="Arial" w:hAnsi="Arial" w:cs="Arial"/>
          <w:color w:val="000000" w:themeColor="text1"/>
          <w:lang w:val="es-ES_tradnl"/>
        </w:rPr>
        <w:t xml:space="preserve">Proyecto de Ley 247 de 2019 Cámara </w:t>
      </w:r>
      <w:r w:rsidR="00187271" w:rsidRPr="00162E8F">
        <w:rPr>
          <w:rFonts w:ascii="Arial" w:hAnsi="Arial" w:cs="Arial"/>
          <w:b/>
          <w:color w:val="000000" w:themeColor="text1"/>
          <w:lang w:val="es-ES_tradnl"/>
        </w:rPr>
        <w:t>“POR MEDIO DE LA CUAL SE MODIFICAN LOS ARTÍCULOS 208 DE LEY 1448 DE 2011, 194 DEL DECRETO LEY 4633 DE 2011, 123 DEL DECRETO LEY 4634 DE 2011, Y DEL DECRETO LEY 4635 DE 2011, PRORROGÁNDOSE LAS ANTERIORES NORMAS POR DIEZ AÑOS MÁS.</w:t>
      </w:r>
      <w:r w:rsidR="00187271">
        <w:rPr>
          <w:rFonts w:ascii="Arial" w:hAnsi="Arial" w:cs="Arial"/>
          <w:color w:val="000000" w:themeColor="text1"/>
          <w:lang w:val="es-ES_tradnl"/>
        </w:rPr>
        <w:t xml:space="preserve"> </w:t>
      </w:r>
    </w:p>
    <w:p w:rsidR="00970955" w:rsidRPr="00B514AD" w:rsidRDefault="00970955" w:rsidP="00970955">
      <w:pPr>
        <w:jc w:val="both"/>
        <w:rPr>
          <w:rFonts w:ascii="Arial" w:hAnsi="Arial" w:cs="Arial"/>
          <w:color w:val="000000" w:themeColor="text1"/>
        </w:rPr>
      </w:pPr>
    </w:p>
    <w:p w:rsidR="00266569" w:rsidRPr="00B514AD" w:rsidRDefault="00266569" w:rsidP="00FD487C">
      <w:pPr>
        <w:spacing w:after="0" w:line="240" w:lineRule="auto"/>
        <w:jc w:val="both"/>
        <w:rPr>
          <w:rFonts w:ascii="Arial" w:hAnsi="Arial" w:cs="Arial"/>
          <w:color w:val="000000" w:themeColor="text1"/>
          <w:lang w:val="es-ES_tradnl"/>
        </w:rPr>
      </w:pPr>
      <w:r w:rsidRPr="00B514AD">
        <w:rPr>
          <w:rFonts w:ascii="Arial" w:hAnsi="Arial" w:cs="Arial"/>
          <w:color w:val="000000" w:themeColor="text1"/>
          <w:lang w:val="es-ES_tradnl"/>
        </w:rPr>
        <w:t>Cordialmente,</w:t>
      </w:r>
    </w:p>
    <w:p w:rsidR="0006367C" w:rsidRPr="00B514AD" w:rsidRDefault="0006367C" w:rsidP="0006367C">
      <w:pPr>
        <w:spacing w:after="0" w:line="240" w:lineRule="auto"/>
        <w:jc w:val="both"/>
        <w:rPr>
          <w:rFonts w:ascii="Arial" w:hAnsi="Arial" w:cs="Arial"/>
          <w:lang w:val="es-ES_tradnl"/>
        </w:rPr>
      </w:pPr>
    </w:p>
    <w:p w:rsidR="00F949C6" w:rsidRPr="00B514AD" w:rsidRDefault="00F949C6" w:rsidP="0006367C">
      <w:pPr>
        <w:spacing w:after="0" w:line="240" w:lineRule="auto"/>
        <w:jc w:val="both"/>
        <w:rPr>
          <w:rFonts w:ascii="Arial" w:hAnsi="Arial" w:cs="Arial"/>
          <w:b/>
          <w:lang w:val="es-ES_tradnl"/>
        </w:rPr>
      </w:pPr>
    </w:p>
    <w:p w:rsidR="002247CD" w:rsidRPr="00B514AD" w:rsidRDefault="002247CD" w:rsidP="0006367C">
      <w:pPr>
        <w:spacing w:after="0" w:line="240" w:lineRule="auto"/>
        <w:jc w:val="both"/>
        <w:rPr>
          <w:rFonts w:ascii="Arial" w:hAnsi="Arial" w:cs="Arial"/>
          <w:b/>
          <w:lang w:val="es-ES_tradnl"/>
        </w:rPr>
        <w:sectPr w:rsidR="002247CD" w:rsidRPr="00B514AD" w:rsidSect="00EC5F4C">
          <w:headerReference w:type="default" r:id="rId11"/>
          <w:footerReference w:type="default" r:id="rId12"/>
          <w:pgSz w:w="12240" w:h="15840" w:code="1"/>
          <w:pgMar w:top="1134" w:right="1701" w:bottom="1134" w:left="1701" w:header="709" w:footer="709" w:gutter="0"/>
          <w:cols w:space="708"/>
          <w:docGrid w:linePitch="360"/>
        </w:sectPr>
      </w:pPr>
    </w:p>
    <w:p w:rsidR="002247CD" w:rsidRPr="00B514AD" w:rsidRDefault="002247CD" w:rsidP="002247CD">
      <w:pPr>
        <w:spacing w:after="0" w:line="240" w:lineRule="auto"/>
        <w:rPr>
          <w:rFonts w:ascii="Arial" w:hAnsi="Arial" w:cs="Arial"/>
          <w:b/>
          <w:lang w:val="es-ES_tradnl"/>
        </w:rPr>
      </w:pPr>
    </w:p>
    <w:p w:rsidR="002247CD" w:rsidRPr="00B514AD" w:rsidRDefault="002247CD" w:rsidP="002247CD">
      <w:pPr>
        <w:spacing w:after="0" w:line="240" w:lineRule="auto"/>
        <w:rPr>
          <w:rFonts w:ascii="Arial" w:hAnsi="Arial" w:cs="Arial"/>
          <w:b/>
          <w:lang w:val="es-ES_tradnl"/>
        </w:rPr>
      </w:pPr>
    </w:p>
    <w:p w:rsidR="00F949C6" w:rsidRPr="00B514AD" w:rsidRDefault="00F949C6" w:rsidP="002247CD">
      <w:pPr>
        <w:spacing w:after="0" w:line="240" w:lineRule="auto"/>
        <w:jc w:val="center"/>
        <w:rPr>
          <w:rFonts w:ascii="Arial" w:hAnsi="Arial" w:cs="Arial"/>
          <w:b/>
          <w:lang w:val="es-ES_tradnl"/>
        </w:rPr>
      </w:pPr>
      <w:r w:rsidRPr="00B514AD">
        <w:rPr>
          <w:rFonts w:ascii="Arial" w:hAnsi="Arial" w:cs="Arial"/>
          <w:b/>
          <w:lang w:val="es-ES_tradnl"/>
        </w:rPr>
        <w:t>JOHN JAIRO HOYOS GARCIA</w:t>
      </w:r>
    </w:p>
    <w:p w:rsidR="00F949C6"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Coordinador P</w:t>
      </w:r>
      <w:r w:rsidR="00F949C6" w:rsidRPr="00B514AD">
        <w:rPr>
          <w:rFonts w:ascii="Arial" w:hAnsi="Arial" w:cs="Arial"/>
          <w:b/>
          <w:lang w:val="es-ES_tradnl"/>
        </w:rPr>
        <w:t>onente</w:t>
      </w:r>
      <w:r w:rsidRPr="00B514AD">
        <w:rPr>
          <w:rFonts w:ascii="Arial" w:hAnsi="Arial" w:cs="Arial"/>
          <w:b/>
          <w:lang w:val="es-ES_tradnl"/>
        </w:rPr>
        <w:t xml:space="preserve"> </w:t>
      </w:r>
    </w:p>
    <w:p w:rsidR="002247CD" w:rsidRPr="00B514AD" w:rsidRDefault="002247CD"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Pr="00B514AD" w:rsidRDefault="000174D2" w:rsidP="000174D2">
      <w:pPr>
        <w:spacing w:after="0" w:line="240" w:lineRule="auto"/>
        <w:jc w:val="center"/>
        <w:rPr>
          <w:rFonts w:ascii="Arial" w:hAnsi="Arial" w:cs="Arial"/>
          <w:b/>
          <w:lang w:val="es-ES_tradnl"/>
        </w:rPr>
      </w:pPr>
      <w:r w:rsidRPr="00B514AD">
        <w:rPr>
          <w:rFonts w:ascii="Arial" w:hAnsi="Arial" w:cs="Arial"/>
          <w:b/>
          <w:lang w:val="es-ES_tradnl"/>
        </w:rPr>
        <w:t>JUAN CARLOS LOZADA VARGAS</w:t>
      </w:r>
    </w:p>
    <w:p w:rsidR="000174D2" w:rsidRPr="00B514AD" w:rsidRDefault="000174D2" w:rsidP="000174D2">
      <w:pPr>
        <w:spacing w:after="0" w:line="240" w:lineRule="auto"/>
        <w:jc w:val="center"/>
        <w:rPr>
          <w:rFonts w:ascii="Arial" w:hAnsi="Arial" w:cs="Arial"/>
          <w:b/>
          <w:lang w:val="es-ES_tradnl"/>
        </w:rPr>
      </w:pPr>
      <w:r w:rsidRPr="00B514AD">
        <w:rPr>
          <w:rFonts w:ascii="Arial" w:hAnsi="Arial" w:cs="Arial"/>
          <w:b/>
          <w:lang w:val="es-ES_tradnl"/>
        </w:rPr>
        <w:t>Coordinador Ponente</w:t>
      </w: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JOSE DANIEL LOPEZ JIMENEZ</w:t>
      </w: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rsidR="002247CD" w:rsidRPr="00B514AD" w:rsidRDefault="002247CD"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GABRIEL JAIME VALLEJO CHUJFI</w:t>
      </w: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rsidR="002247CD" w:rsidRPr="00B514AD" w:rsidRDefault="002247CD"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p>
    <w:p w:rsidR="00983D0B" w:rsidRDefault="00983D0B" w:rsidP="002247CD">
      <w:pPr>
        <w:spacing w:after="0" w:line="240" w:lineRule="auto"/>
        <w:jc w:val="center"/>
        <w:rPr>
          <w:rFonts w:ascii="Arial" w:hAnsi="Arial" w:cs="Arial"/>
          <w:b/>
          <w:lang w:val="es-ES_tradnl"/>
        </w:rPr>
      </w:pPr>
    </w:p>
    <w:p w:rsidR="00983D0B" w:rsidRDefault="00983D0B"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 xml:space="preserve">BUENAVENTURA LEON </w:t>
      </w:r>
      <w:proofErr w:type="spellStart"/>
      <w:r w:rsidRPr="00B514AD">
        <w:rPr>
          <w:rFonts w:ascii="Arial" w:hAnsi="Arial" w:cs="Arial"/>
          <w:b/>
          <w:lang w:val="es-ES_tradnl"/>
        </w:rPr>
        <w:t>LEON</w:t>
      </w:r>
      <w:proofErr w:type="spellEnd"/>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rsidR="002247CD" w:rsidRPr="00B514AD" w:rsidRDefault="002247CD"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JUANITA GOEBERTUS ESTRADA</w:t>
      </w: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rsidR="002247CD" w:rsidRPr="00B514AD" w:rsidRDefault="002247CD" w:rsidP="002247CD">
      <w:pPr>
        <w:spacing w:after="0" w:line="240" w:lineRule="auto"/>
        <w:jc w:val="center"/>
        <w:rPr>
          <w:rFonts w:ascii="Arial" w:hAnsi="Arial" w:cs="Arial"/>
          <w:b/>
          <w:lang w:val="es-ES_tradnl"/>
        </w:rPr>
      </w:pPr>
    </w:p>
    <w:p w:rsidR="002247CD" w:rsidRPr="00B514AD" w:rsidRDefault="002247CD" w:rsidP="002247CD">
      <w:pPr>
        <w:jc w:val="center"/>
        <w:rPr>
          <w:rFonts w:ascii="Arial" w:hAnsi="Arial" w:cs="Arial"/>
          <w:b/>
          <w:lang w:val="es-ES_tradnl"/>
        </w:rPr>
        <w:sectPr w:rsidR="002247CD" w:rsidRPr="00B514AD" w:rsidSect="00B514AD">
          <w:type w:val="continuous"/>
          <w:pgSz w:w="12240" w:h="15840" w:code="1"/>
          <w:pgMar w:top="1134" w:right="1701" w:bottom="1134" w:left="1701" w:header="709" w:footer="709" w:gutter="0"/>
          <w:cols w:num="2" w:space="708"/>
          <w:docGrid w:linePitch="360"/>
        </w:sectPr>
      </w:pPr>
    </w:p>
    <w:p w:rsidR="002247CD" w:rsidRPr="00B514AD" w:rsidRDefault="002247CD" w:rsidP="002247CD">
      <w:pPr>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0174D2" w:rsidRDefault="000174D2" w:rsidP="002247CD">
      <w:pPr>
        <w:spacing w:after="0" w:line="240" w:lineRule="auto"/>
        <w:jc w:val="center"/>
        <w:rPr>
          <w:rFonts w:ascii="Arial" w:hAnsi="Arial" w:cs="Arial"/>
          <w:b/>
          <w:lang w:val="es-ES_tradnl"/>
        </w:rPr>
      </w:pP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LUIS ALBERTO ALBAN URBANO</w:t>
      </w:r>
    </w:p>
    <w:p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rsidR="00B514AD" w:rsidRDefault="00B514AD">
      <w:pPr>
        <w:rPr>
          <w:rFonts w:ascii="Arial" w:hAnsi="Arial" w:cs="Arial"/>
          <w:b/>
          <w:lang w:val="es-ES_tradnl"/>
        </w:rPr>
        <w:sectPr w:rsidR="00B514AD" w:rsidSect="00B514AD">
          <w:headerReference w:type="default" r:id="rId13"/>
          <w:footerReference w:type="default" r:id="rId14"/>
          <w:type w:val="continuous"/>
          <w:pgSz w:w="12240" w:h="15840" w:code="1"/>
          <w:pgMar w:top="1134" w:right="1701" w:bottom="1134" w:left="1701" w:header="709" w:footer="709" w:gutter="0"/>
          <w:cols w:num="2" w:space="708"/>
          <w:docGrid w:linePitch="360"/>
        </w:sectPr>
      </w:pPr>
    </w:p>
    <w:p w:rsidR="00331C09" w:rsidRPr="00B514AD" w:rsidRDefault="00331C09">
      <w:pPr>
        <w:rPr>
          <w:rFonts w:ascii="Arial" w:hAnsi="Arial" w:cs="Arial"/>
          <w:b/>
          <w:lang w:val="es-ES_tradnl"/>
        </w:rPr>
      </w:pPr>
      <w:r w:rsidRPr="00B514AD">
        <w:rPr>
          <w:rFonts w:ascii="Arial" w:hAnsi="Arial" w:cs="Arial"/>
          <w:b/>
          <w:lang w:val="es-ES_tradnl"/>
        </w:rPr>
        <w:lastRenderedPageBreak/>
        <w:br w:type="page"/>
      </w:r>
    </w:p>
    <w:p w:rsidR="0006367C" w:rsidRPr="00B514AD" w:rsidRDefault="008E6932" w:rsidP="008E6932">
      <w:pPr>
        <w:jc w:val="center"/>
        <w:rPr>
          <w:rFonts w:ascii="Arial" w:hAnsi="Arial" w:cs="Arial"/>
          <w:b/>
        </w:rPr>
      </w:pPr>
      <w:r w:rsidRPr="00B514AD">
        <w:rPr>
          <w:rFonts w:ascii="Arial" w:hAnsi="Arial" w:cs="Arial"/>
          <w:b/>
        </w:rPr>
        <w:lastRenderedPageBreak/>
        <w:t>TEXTO PROPUESTO</w:t>
      </w:r>
    </w:p>
    <w:p w:rsidR="002D17DE" w:rsidRDefault="00343E42" w:rsidP="00091BE1">
      <w:pPr>
        <w:spacing w:after="0" w:line="240" w:lineRule="auto"/>
        <w:jc w:val="both"/>
        <w:rPr>
          <w:rFonts w:ascii="Arial" w:hAnsi="Arial" w:cs="Arial"/>
          <w:b/>
        </w:rPr>
      </w:pPr>
      <w:r>
        <w:rPr>
          <w:rFonts w:ascii="Arial" w:hAnsi="Arial" w:cs="Arial"/>
          <w:b/>
        </w:rPr>
        <w:t xml:space="preserve">INFORME DE PONENCIA PARA PRIMER DEBATE EN CÁMARA DEL </w:t>
      </w:r>
      <w:r w:rsidR="002D17DE" w:rsidRPr="00B514AD">
        <w:rPr>
          <w:rFonts w:ascii="Arial" w:hAnsi="Arial" w:cs="Arial"/>
          <w:b/>
        </w:rPr>
        <w:t>PROYECTO DE LEY 199 DE 2019</w:t>
      </w:r>
      <w:r w:rsidR="00983D0B">
        <w:rPr>
          <w:rFonts w:ascii="Arial" w:hAnsi="Arial" w:cs="Arial"/>
          <w:b/>
        </w:rPr>
        <w:t xml:space="preserve"> </w:t>
      </w:r>
      <w:r w:rsidR="00091BE1">
        <w:rPr>
          <w:rFonts w:ascii="Arial" w:hAnsi="Arial" w:cs="Arial"/>
          <w:b/>
        </w:rPr>
        <w:t>CÁMARA ACUMULADO CON EL PROYECTO DE LEY 24</w:t>
      </w:r>
      <w:r w:rsidR="005150A9">
        <w:rPr>
          <w:rFonts w:ascii="Arial" w:hAnsi="Arial" w:cs="Arial"/>
          <w:b/>
        </w:rPr>
        <w:t>7</w:t>
      </w:r>
      <w:bookmarkStart w:id="3" w:name="_GoBack"/>
      <w:bookmarkEnd w:id="3"/>
      <w:r w:rsidR="00091BE1">
        <w:rPr>
          <w:rFonts w:ascii="Arial" w:hAnsi="Arial" w:cs="Arial"/>
          <w:b/>
        </w:rPr>
        <w:t xml:space="preserve"> DE 2019 CAMARA </w:t>
      </w:r>
      <w:r w:rsidRPr="00343E42">
        <w:rPr>
          <w:rFonts w:ascii="Arial" w:hAnsi="Arial" w:cs="Arial"/>
          <w:b/>
        </w:rPr>
        <w:t>“POR MEDIO DE LA CUAL SE MODIFICA LA LEY 1448 DE 2011 Y LOS DECRETOS LEY ÉTNICOS 4633 DE 2011, 4634 DE 2011, Y 4635 DE 2011, AMPLIANDO POR 10 AÑOS SU VIGENCIA”</w:t>
      </w:r>
    </w:p>
    <w:p w:rsidR="00343E42" w:rsidRDefault="00343E42" w:rsidP="002D17DE">
      <w:pPr>
        <w:spacing w:after="0" w:line="240" w:lineRule="auto"/>
        <w:jc w:val="center"/>
        <w:rPr>
          <w:rFonts w:ascii="Arial" w:hAnsi="Arial" w:cs="Arial"/>
          <w:b/>
        </w:rPr>
      </w:pPr>
    </w:p>
    <w:p w:rsidR="00343E42" w:rsidRPr="00343E42" w:rsidRDefault="00343E42" w:rsidP="002D17DE">
      <w:pPr>
        <w:spacing w:after="0" w:line="240" w:lineRule="auto"/>
        <w:jc w:val="center"/>
        <w:rPr>
          <w:rFonts w:ascii="Arial" w:hAnsi="Arial" w:cs="Arial"/>
        </w:rPr>
      </w:pPr>
      <w:r w:rsidRPr="00343E42">
        <w:rPr>
          <w:rFonts w:ascii="Arial" w:hAnsi="Arial" w:cs="Arial"/>
        </w:rPr>
        <w:t xml:space="preserve">El Congreso de Colombia </w:t>
      </w:r>
      <w:r w:rsidR="0054275D">
        <w:rPr>
          <w:rFonts w:ascii="Arial" w:hAnsi="Arial" w:cs="Arial"/>
        </w:rPr>
        <w:t xml:space="preserve"> </w:t>
      </w:r>
    </w:p>
    <w:p w:rsidR="00343E42" w:rsidRPr="00343E42" w:rsidRDefault="00343E42" w:rsidP="002D17DE">
      <w:pPr>
        <w:spacing w:after="0" w:line="240" w:lineRule="auto"/>
        <w:jc w:val="center"/>
        <w:rPr>
          <w:rFonts w:ascii="Arial" w:hAnsi="Arial" w:cs="Arial"/>
        </w:rPr>
      </w:pPr>
      <w:r w:rsidRPr="00343E42">
        <w:rPr>
          <w:rFonts w:ascii="Arial" w:hAnsi="Arial" w:cs="Arial"/>
        </w:rPr>
        <w:t>Decreta:</w:t>
      </w:r>
    </w:p>
    <w:p w:rsidR="002D17DE" w:rsidRPr="00B514AD" w:rsidRDefault="002D17DE" w:rsidP="002D17DE">
      <w:pPr>
        <w:spacing w:after="0" w:line="240" w:lineRule="auto"/>
        <w:rPr>
          <w:rFonts w:ascii="Arial" w:hAnsi="Arial" w:cs="Arial"/>
          <w:b/>
        </w:rPr>
      </w:pPr>
    </w:p>
    <w:p w:rsidR="00EA7EAF" w:rsidRPr="006E479D" w:rsidRDefault="002D17DE" w:rsidP="00EA7EAF">
      <w:pPr>
        <w:spacing w:after="323" w:line="234" w:lineRule="auto"/>
        <w:ind w:left="53" w:right="237" w:hanging="3"/>
        <w:jc w:val="both"/>
        <w:rPr>
          <w:rFonts w:ascii="Arial" w:hAnsi="Arial" w:cs="Arial"/>
        </w:rPr>
      </w:pPr>
      <w:r w:rsidRPr="00B514AD">
        <w:rPr>
          <w:rFonts w:ascii="Arial" w:hAnsi="Arial" w:cs="Arial"/>
          <w:b/>
        </w:rPr>
        <w:t>ARTÍCULO 1º. OBJETO.</w:t>
      </w:r>
      <w:r w:rsidRPr="00B514AD">
        <w:rPr>
          <w:rFonts w:ascii="Arial" w:hAnsi="Arial" w:cs="Arial"/>
        </w:rPr>
        <w:t xml:space="preserve"> </w:t>
      </w:r>
      <w:r w:rsidRPr="006E479D">
        <w:rPr>
          <w:rFonts w:ascii="Arial" w:hAnsi="Arial" w:cs="Arial"/>
        </w:rPr>
        <w:t xml:space="preserve">A través de esta ley se aumenta en diez años la vigencia de la ley 1448 de 2011 “Por la cual se dictan medidas de atención, asistencia y reparación integral a las víctimas del conflicto armado interno y se dictan otras disposiciones”. </w:t>
      </w:r>
      <w:r w:rsidR="00EA7EAF" w:rsidRPr="006E479D">
        <w:rPr>
          <w:rFonts w:ascii="Arial" w:hAnsi="Arial" w:cs="Arial"/>
        </w:rPr>
        <w:t xml:space="preserve">Y de los Decretos Ley </w:t>
      </w:r>
      <w:r w:rsidR="00B64D24" w:rsidRPr="006E479D">
        <w:rPr>
          <w:rFonts w:ascii="Arial" w:hAnsi="Arial" w:cs="Arial"/>
        </w:rPr>
        <w:t>Étnicos</w:t>
      </w:r>
      <w:r w:rsidR="00EA7EAF" w:rsidRPr="006E479D">
        <w:rPr>
          <w:rFonts w:ascii="Arial" w:hAnsi="Arial" w:cs="Arial"/>
        </w:rPr>
        <w:t xml:space="preserve"> 4633 de 2011, 4634 de 2011, y 4635 de 2011</w:t>
      </w:r>
      <w:r w:rsidR="00EA7EAF" w:rsidRPr="006E479D">
        <w:rPr>
          <w:rFonts w:ascii="Arial" w:eastAsia="Courier New" w:hAnsi="Arial" w:cs="Arial"/>
        </w:rPr>
        <w:t>.</w:t>
      </w:r>
    </w:p>
    <w:p w:rsidR="002D17DE" w:rsidRPr="00B514AD" w:rsidRDefault="002D17DE" w:rsidP="002D17DE">
      <w:pPr>
        <w:spacing w:after="0" w:line="240" w:lineRule="auto"/>
        <w:jc w:val="both"/>
        <w:rPr>
          <w:rFonts w:ascii="Arial" w:hAnsi="Arial" w:cs="Arial"/>
        </w:rPr>
      </w:pPr>
      <w:r w:rsidRPr="00B514AD">
        <w:rPr>
          <w:rFonts w:ascii="Arial" w:hAnsi="Arial" w:cs="Arial"/>
        </w:rPr>
        <w:t xml:space="preserve">Lo anterior puesto que el proceso de reparación consignado en la ley </w:t>
      </w:r>
      <w:r w:rsidR="00B64D24">
        <w:rPr>
          <w:rFonts w:ascii="Arial" w:hAnsi="Arial" w:cs="Arial"/>
        </w:rPr>
        <w:t xml:space="preserve">y en los decretos ley étnicos </w:t>
      </w:r>
      <w:r w:rsidRPr="00B514AD">
        <w:rPr>
          <w:rFonts w:ascii="Arial" w:hAnsi="Arial" w:cs="Arial"/>
        </w:rPr>
        <w:t xml:space="preserve">se ha demorado más de lo previsto y se debe garantizar la atención y reparación de las víctimas en el marco de una paz estable y duradera. </w:t>
      </w:r>
    </w:p>
    <w:p w:rsidR="002D17DE" w:rsidRPr="00B514AD" w:rsidRDefault="002D17DE" w:rsidP="002D17DE">
      <w:pPr>
        <w:spacing w:after="0" w:line="240" w:lineRule="auto"/>
        <w:jc w:val="both"/>
        <w:rPr>
          <w:rFonts w:ascii="Arial" w:hAnsi="Arial" w:cs="Arial"/>
        </w:rPr>
      </w:pPr>
    </w:p>
    <w:p w:rsidR="002D17DE" w:rsidRPr="00B514AD" w:rsidRDefault="002D17DE" w:rsidP="002D17DE">
      <w:pPr>
        <w:spacing w:after="0" w:line="240" w:lineRule="auto"/>
        <w:jc w:val="both"/>
        <w:rPr>
          <w:rFonts w:ascii="Arial" w:hAnsi="Arial" w:cs="Arial"/>
        </w:rPr>
      </w:pPr>
      <w:r w:rsidRPr="00B514AD">
        <w:rPr>
          <w:rFonts w:ascii="Arial" w:hAnsi="Arial" w:cs="Arial"/>
          <w:b/>
        </w:rPr>
        <w:t>ARTÍCULO 2º.</w:t>
      </w:r>
      <w:r w:rsidRPr="00B514AD">
        <w:rPr>
          <w:rFonts w:ascii="Arial" w:hAnsi="Arial" w:cs="Arial"/>
        </w:rPr>
        <w:t xml:space="preserve"> Modifíquese el artículo 208 de la Ley 1448 de 2011, así:</w:t>
      </w:r>
    </w:p>
    <w:p w:rsidR="002D17DE" w:rsidRPr="00B514AD" w:rsidRDefault="002D17DE" w:rsidP="002D17DE">
      <w:pPr>
        <w:pStyle w:val="NormalWeb"/>
        <w:spacing w:line="270" w:lineRule="atLeast"/>
        <w:ind w:left="708"/>
        <w:jc w:val="both"/>
        <w:rPr>
          <w:rFonts w:ascii="Arial" w:hAnsi="Arial" w:cs="Arial"/>
        </w:rPr>
      </w:pPr>
      <w:bookmarkStart w:id="4" w:name="208"/>
      <w:r w:rsidRPr="00B514AD">
        <w:rPr>
          <w:rFonts w:ascii="Arial" w:hAnsi="Arial" w:cs="Arial"/>
          <w:b/>
          <w:bCs/>
        </w:rPr>
        <w:t>ARTÍCULO 208. VIGENCIA Y DEROGATORIAS.</w:t>
      </w:r>
      <w:bookmarkEnd w:id="4"/>
      <w:r w:rsidRPr="00B514AD">
        <w:rPr>
          <w:rFonts w:ascii="Arial" w:hAnsi="Arial" w:cs="Arial"/>
        </w:rPr>
        <w:t> La presente ley rige a partir de su promulgación y tendrá una vigencia de veinte (20) años, y deroga todas las disposiciones que le sean contrarias, en particular los artículos 50, 51, 52 y 53 de la Ley 975 de 2005.</w:t>
      </w:r>
    </w:p>
    <w:p w:rsidR="002D17DE" w:rsidRPr="00B514AD" w:rsidRDefault="002D17DE" w:rsidP="002D17DE">
      <w:pPr>
        <w:pStyle w:val="NormalWeb"/>
        <w:spacing w:line="270" w:lineRule="atLeast"/>
        <w:ind w:left="708"/>
        <w:jc w:val="both"/>
        <w:rPr>
          <w:rFonts w:ascii="Arial" w:hAnsi="Arial" w:cs="Arial"/>
        </w:rPr>
      </w:pPr>
      <w:r w:rsidRPr="00B514AD">
        <w:rPr>
          <w:rStyle w:val="baj"/>
          <w:rFonts w:ascii="Arial" w:hAnsi="Arial" w:cs="Arial"/>
          <w:b/>
          <w:bCs/>
        </w:rPr>
        <w:t>PARÁGRAFO 1o.</w:t>
      </w:r>
      <w:r w:rsidRPr="00B514AD">
        <w:rPr>
          <w:rFonts w:ascii="Arial" w:hAnsi="Arial" w:cs="Arial"/>
        </w:rPr>
        <w:t> El Gobierno Nacional presentará un informe anual al Congreso de la República detallado sobre el desarrollo e implementación de la presente ley, así como el objeto cumplido de las facultades implementadas.</w:t>
      </w:r>
    </w:p>
    <w:p w:rsidR="002D17DE" w:rsidRDefault="002D17DE" w:rsidP="002D17DE">
      <w:pPr>
        <w:pStyle w:val="NormalWeb"/>
        <w:spacing w:line="270" w:lineRule="atLeast"/>
        <w:ind w:left="708"/>
        <w:jc w:val="both"/>
        <w:rPr>
          <w:rFonts w:ascii="Arial" w:hAnsi="Arial" w:cs="Arial"/>
        </w:rPr>
      </w:pPr>
      <w:r w:rsidRPr="00B514AD">
        <w:rPr>
          <w:rStyle w:val="baj"/>
          <w:rFonts w:ascii="Arial" w:hAnsi="Arial" w:cs="Arial"/>
          <w:b/>
          <w:bCs/>
        </w:rPr>
        <w:t>PARÁGRAFO 2o.</w:t>
      </w:r>
      <w:r w:rsidRPr="00B514AD">
        <w:rPr>
          <w:rFonts w:ascii="Arial" w:hAnsi="Arial" w:cs="Arial"/>
        </w:rPr>
        <w:t> Un año antes del vencimiento de la vigencia de esta ley, el Congreso de la República deberá pronunciarse frente a la ejecución y cumplimiento de la misma.</w:t>
      </w:r>
    </w:p>
    <w:p w:rsidR="00B64D24" w:rsidRDefault="00B64D24" w:rsidP="00B64D24">
      <w:pPr>
        <w:spacing w:after="313" w:line="234" w:lineRule="auto"/>
        <w:ind w:left="53" w:right="237" w:hanging="3"/>
        <w:jc w:val="both"/>
      </w:pPr>
      <w:r w:rsidRPr="00B514AD">
        <w:rPr>
          <w:rFonts w:ascii="Arial" w:hAnsi="Arial" w:cs="Arial"/>
          <w:b/>
        </w:rPr>
        <w:t xml:space="preserve">ARTÍCULO </w:t>
      </w:r>
      <w:r>
        <w:rPr>
          <w:rFonts w:ascii="Arial" w:hAnsi="Arial" w:cs="Arial"/>
          <w:b/>
        </w:rPr>
        <w:t>3</w:t>
      </w:r>
      <w:r w:rsidRPr="00B514AD">
        <w:rPr>
          <w:rFonts w:ascii="Arial" w:hAnsi="Arial" w:cs="Arial"/>
          <w:b/>
        </w:rPr>
        <w:t>º.</w:t>
      </w:r>
      <w:r w:rsidRPr="00B514AD">
        <w:rPr>
          <w:rFonts w:ascii="Arial" w:hAnsi="Arial" w:cs="Arial"/>
        </w:rPr>
        <w:t xml:space="preserve"> </w:t>
      </w:r>
      <w:r w:rsidRPr="00B64D24">
        <w:rPr>
          <w:rFonts w:ascii="Arial" w:hAnsi="Arial" w:cs="Arial"/>
        </w:rPr>
        <w:t xml:space="preserve">Modifíquese el artículo 194 del Decreto Ley 4633 de 2011, Decreto por el cual se dictan medidas de asistencia, atención, reparación integral y de restitución de derechos territoriales a las víctimas pertenecientes a los pueblos y comunidades indígenas, el cual quedará </w:t>
      </w:r>
      <w:r w:rsidR="00B4772B" w:rsidRPr="00B64D24">
        <w:rPr>
          <w:rFonts w:ascii="Arial" w:hAnsi="Arial" w:cs="Arial"/>
        </w:rPr>
        <w:t>así</w:t>
      </w:r>
      <w:r w:rsidRPr="00B64D24">
        <w:rPr>
          <w:rFonts w:ascii="Arial" w:hAnsi="Arial" w:cs="Arial"/>
        </w:rPr>
        <w:t>:</w:t>
      </w:r>
    </w:p>
    <w:p w:rsidR="00B64D24" w:rsidRPr="00B64D24" w:rsidRDefault="00B64D24" w:rsidP="002F20A4">
      <w:pPr>
        <w:pStyle w:val="NormalWeb"/>
        <w:spacing w:line="270" w:lineRule="atLeast"/>
        <w:ind w:left="708"/>
        <w:jc w:val="both"/>
        <w:rPr>
          <w:rFonts w:ascii="Arial" w:hAnsi="Arial" w:cs="Arial"/>
        </w:rPr>
      </w:pPr>
      <w:r w:rsidRPr="00B64D24">
        <w:rPr>
          <w:rFonts w:ascii="Arial" w:eastAsia="Courier New" w:hAnsi="Arial" w:cs="Arial"/>
          <w:b/>
        </w:rPr>
        <w:t>Artículo 194. VIGENCIA Y DEROGATORIAS</w:t>
      </w:r>
      <w:r w:rsidRPr="00B64D24">
        <w:rPr>
          <w:rFonts w:ascii="Arial" w:eastAsia="Courier New" w:hAnsi="Arial" w:cs="Arial"/>
        </w:rPr>
        <w:t xml:space="preserve">. El presente Decreto </w:t>
      </w:r>
      <w:r w:rsidRPr="00B64D24">
        <w:rPr>
          <w:rFonts w:ascii="Arial" w:hAnsi="Arial" w:cs="Arial"/>
        </w:rPr>
        <w:t>Ley rige a partir de su promulgación, tendrá una vigencia de 20 años y deroga todas las disposiciones que le sean contrarias.</w:t>
      </w:r>
    </w:p>
    <w:p w:rsidR="00B64D24" w:rsidRPr="00B64D24" w:rsidRDefault="00B64D24" w:rsidP="00B64D24">
      <w:pPr>
        <w:spacing w:after="0" w:line="240" w:lineRule="auto"/>
        <w:jc w:val="both"/>
        <w:rPr>
          <w:rFonts w:ascii="Arial" w:hAnsi="Arial" w:cs="Arial"/>
        </w:rPr>
      </w:pPr>
      <w:r w:rsidRPr="00B514AD">
        <w:rPr>
          <w:rFonts w:ascii="Arial" w:hAnsi="Arial" w:cs="Arial"/>
          <w:b/>
        </w:rPr>
        <w:t xml:space="preserve">ARTÍCULO </w:t>
      </w:r>
      <w:r>
        <w:rPr>
          <w:rFonts w:ascii="Arial" w:hAnsi="Arial" w:cs="Arial"/>
          <w:b/>
        </w:rPr>
        <w:t>4</w:t>
      </w:r>
      <w:r w:rsidRPr="00B514AD">
        <w:rPr>
          <w:rFonts w:ascii="Arial" w:hAnsi="Arial" w:cs="Arial"/>
          <w:b/>
        </w:rPr>
        <w:t>º.</w:t>
      </w:r>
      <w:r w:rsidRPr="00B514AD">
        <w:rPr>
          <w:rFonts w:ascii="Arial" w:hAnsi="Arial" w:cs="Arial"/>
        </w:rPr>
        <w:t xml:space="preserve"> </w:t>
      </w:r>
      <w:r>
        <w:rPr>
          <w:rFonts w:ascii="Arial" w:hAnsi="Arial" w:cs="Arial"/>
        </w:rPr>
        <w:t>M</w:t>
      </w:r>
      <w:r w:rsidRPr="00B64D24">
        <w:rPr>
          <w:rFonts w:ascii="Arial" w:hAnsi="Arial" w:cs="Arial"/>
        </w:rPr>
        <w:t xml:space="preserve">odifíquese el artículo 123 del Decreto Ley 4634 de 2011, Decreto por el </w:t>
      </w:r>
      <w:r w:rsidRPr="00B64D24">
        <w:rPr>
          <w:rFonts w:ascii="Arial" w:eastAsia="Courier New" w:hAnsi="Arial" w:cs="Arial"/>
        </w:rPr>
        <w:t xml:space="preserve">cual se dictan medidas de Asistencia, Atención, Reparación Integral y </w:t>
      </w:r>
      <w:r w:rsidRPr="00B64D24">
        <w:rPr>
          <w:rFonts w:ascii="Arial" w:eastAsia="Courier New" w:hAnsi="Arial" w:cs="Arial"/>
        </w:rPr>
        <w:lastRenderedPageBreak/>
        <w:t xml:space="preserve">Restitución de </w:t>
      </w:r>
      <w:r w:rsidRPr="00B64D24">
        <w:rPr>
          <w:rFonts w:ascii="Arial" w:hAnsi="Arial" w:cs="Arial"/>
        </w:rPr>
        <w:t>Tierras a las víctimas pertenecientes al pueblo Rrom o Gitano, el cual quedará así:</w:t>
      </w:r>
    </w:p>
    <w:p w:rsidR="00B64D24" w:rsidRDefault="00B64D24" w:rsidP="00B64D24">
      <w:pPr>
        <w:spacing w:after="324" w:line="234" w:lineRule="auto"/>
        <w:ind w:left="53" w:right="237" w:hanging="3"/>
        <w:jc w:val="both"/>
        <w:rPr>
          <w:rFonts w:ascii="Arial" w:eastAsia="Courier New" w:hAnsi="Arial" w:cs="Arial"/>
          <w:b/>
        </w:rPr>
      </w:pPr>
    </w:p>
    <w:p w:rsidR="00B64D24" w:rsidRPr="00B64D24" w:rsidRDefault="00B64D24" w:rsidP="002F20A4">
      <w:pPr>
        <w:pStyle w:val="NormalWeb"/>
        <w:spacing w:line="270" w:lineRule="atLeast"/>
        <w:ind w:left="708"/>
        <w:jc w:val="both"/>
        <w:rPr>
          <w:rFonts w:ascii="Arial" w:hAnsi="Arial" w:cs="Arial"/>
        </w:rPr>
      </w:pPr>
      <w:r w:rsidRPr="00B64D24">
        <w:rPr>
          <w:rFonts w:ascii="Arial" w:eastAsia="Courier New" w:hAnsi="Arial" w:cs="Arial"/>
          <w:b/>
        </w:rPr>
        <w:t>Artículo 123. VIGENCIA Y DEROGATORIAS</w:t>
      </w:r>
      <w:r w:rsidRPr="00B64D24">
        <w:rPr>
          <w:rFonts w:ascii="Arial" w:eastAsia="Courier New" w:hAnsi="Arial" w:cs="Arial"/>
        </w:rPr>
        <w:t xml:space="preserve">. El presente Decreto rige a partir de su </w:t>
      </w:r>
      <w:r w:rsidRPr="00B64D24">
        <w:rPr>
          <w:rFonts w:ascii="Arial" w:hAnsi="Arial" w:cs="Arial"/>
        </w:rPr>
        <w:t xml:space="preserve">publicación, tendrá una vigencia de 20 años, y deroga todas las disposiciones que le </w:t>
      </w:r>
      <w:r w:rsidRPr="00B64D24">
        <w:rPr>
          <w:rFonts w:ascii="Arial" w:eastAsia="Courier New" w:hAnsi="Arial" w:cs="Arial"/>
        </w:rPr>
        <w:t>sean contrarias.</w:t>
      </w:r>
    </w:p>
    <w:p w:rsidR="00B64D24" w:rsidRDefault="00B64D24" w:rsidP="00B64D24">
      <w:pPr>
        <w:spacing w:after="336" w:line="234" w:lineRule="auto"/>
        <w:ind w:left="53" w:right="237" w:hanging="3"/>
        <w:jc w:val="both"/>
      </w:pPr>
      <w:r w:rsidRPr="00B64D24">
        <w:rPr>
          <w:rFonts w:ascii="Arial" w:hAnsi="Arial" w:cs="Arial"/>
          <w:b/>
          <w:noProof/>
        </w:rPr>
        <w:drawing>
          <wp:anchor distT="0" distB="0" distL="114300" distR="114300" simplePos="0" relativeHeight="251661312" behindDoc="0" locked="0" layoutInCell="1" allowOverlap="0" wp14:anchorId="6B3F4447" wp14:editId="752B4A81">
            <wp:simplePos x="0" y="0"/>
            <wp:positionH relativeFrom="page">
              <wp:posOffset>1173926</wp:posOffset>
            </wp:positionH>
            <wp:positionV relativeFrom="page">
              <wp:posOffset>1855103</wp:posOffset>
            </wp:positionV>
            <wp:extent cx="4568" cy="4569"/>
            <wp:effectExtent l="0" t="0" r="0" b="0"/>
            <wp:wrapSquare wrapText="bothSides"/>
            <wp:docPr id="9904" name="Picture 9904"/>
            <wp:cNvGraphicFramePr/>
            <a:graphic xmlns:a="http://schemas.openxmlformats.org/drawingml/2006/main">
              <a:graphicData uri="http://schemas.openxmlformats.org/drawingml/2006/picture">
                <pic:pic xmlns:pic="http://schemas.openxmlformats.org/drawingml/2006/picture">
                  <pic:nvPicPr>
                    <pic:cNvPr id="9904" name="Picture 9904"/>
                    <pic:cNvPicPr/>
                  </pic:nvPicPr>
                  <pic:blipFill>
                    <a:blip r:embed="rId15"/>
                    <a:stretch>
                      <a:fillRect/>
                    </a:stretch>
                  </pic:blipFill>
                  <pic:spPr>
                    <a:xfrm>
                      <a:off x="0" y="0"/>
                      <a:ext cx="4568" cy="4569"/>
                    </a:xfrm>
                    <a:prstGeom prst="rect">
                      <a:avLst/>
                    </a:prstGeom>
                  </pic:spPr>
                </pic:pic>
              </a:graphicData>
            </a:graphic>
          </wp:anchor>
        </w:drawing>
      </w:r>
      <w:r w:rsidRPr="00B64D24">
        <w:rPr>
          <w:rFonts w:ascii="Arial" w:hAnsi="Arial" w:cs="Arial"/>
          <w:b/>
          <w:noProof/>
        </w:rPr>
        <w:drawing>
          <wp:anchor distT="0" distB="0" distL="114300" distR="114300" simplePos="0" relativeHeight="251663360" behindDoc="0" locked="0" layoutInCell="1" allowOverlap="0" wp14:anchorId="149310D9" wp14:editId="68FA0AB4">
            <wp:simplePos x="0" y="0"/>
            <wp:positionH relativeFrom="page">
              <wp:posOffset>6888253</wp:posOffset>
            </wp:positionH>
            <wp:positionV relativeFrom="page">
              <wp:posOffset>2508502</wp:posOffset>
            </wp:positionV>
            <wp:extent cx="4568" cy="50261"/>
            <wp:effectExtent l="0" t="0" r="0" b="0"/>
            <wp:wrapTopAndBottom/>
            <wp:docPr id="83189" name="Picture 83189"/>
            <wp:cNvGraphicFramePr/>
            <a:graphic xmlns:a="http://schemas.openxmlformats.org/drawingml/2006/main">
              <a:graphicData uri="http://schemas.openxmlformats.org/drawingml/2006/picture">
                <pic:pic xmlns:pic="http://schemas.openxmlformats.org/drawingml/2006/picture">
                  <pic:nvPicPr>
                    <pic:cNvPr id="83189" name="Picture 83189"/>
                    <pic:cNvPicPr/>
                  </pic:nvPicPr>
                  <pic:blipFill>
                    <a:blip r:embed="rId16"/>
                    <a:stretch>
                      <a:fillRect/>
                    </a:stretch>
                  </pic:blipFill>
                  <pic:spPr>
                    <a:xfrm>
                      <a:off x="0" y="0"/>
                      <a:ext cx="4568" cy="50261"/>
                    </a:xfrm>
                    <a:prstGeom prst="rect">
                      <a:avLst/>
                    </a:prstGeom>
                  </pic:spPr>
                </pic:pic>
              </a:graphicData>
            </a:graphic>
          </wp:anchor>
        </w:drawing>
      </w:r>
      <w:r w:rsidRPr="00B64D24">
        <w:rPr>
          <w:rFonts w:ascii="Arial" w:hAnsi="Arial" w:cs="Arial"/>
          <w:b/>
          <w:noProof/>
        </w:rPr>
        <w:drawing>
          <wp:anchor distT="0" distB="0" distL="114300" distR="114300" simplePos="0" relativeHeight="251664384" behindDoc="0" locked="0" layoutInCell="1" allowOverlap="0" wp14:anchorId="5B798C3B" wp14:editId="6105A267">
            <wp:simplePos x="0" y="0"/>
            <wp:positionH relativeFrom="page">
              <wp:posOffset>6888253</wp:posOffset>
            </wp:positionH>
            <wp:positionV relativeFrom="page">
              <wp:posOffset>2933439</wp:posOffset>
            </wp:positionV>
            <wp:extent cx="4568" cy="59400"/>
            <wp:effectExtent l="0" t="0" r="0" b="0"/>
            <wp:wrapSquare wrapText="bothSides"/>
            <wp:docPr id="83191" name="Picture 83191"/>
            <wp:cNvGraphicFramePr/>
            <a:graphic xmlns:a="http://schemas.openxmlformats.org/drawingml/2006/main">
              <a:graphicData uri="http://schemas.openxmlformats.org/drawingml/2006/picture">
                <pic:pic xmlns:pic="http://schemas.openxmlformats.org/drawingml/2006/picture">
                  <pic:nvPicPr>
                    <pic:cNvPr id="83191" name="Picture 83191"/>
                    <pic:cNvPicPr/>
                  </pic:nvPicPr>
                  <pic:blipFill>
                    <a:blip r:embed="rId17"/>
                    <a:stretch>
                      <a:fillRect/>
                    </a:stretch>
                  </pic:blipFill>
                  <pic:spPr>
                    <a:xfrm>
                      <a:off x="0" y="0"/>
                      <a:ext cx="4568" cy="59400"/>
                    </a:xfrm>
                    <a:prstGeom prst="rect">
                      <a:avLst/>
                    </a:prstGeom>
                  </pic:spPr>
                </pic:pic>
              </a:graphicData>
            </a:graphic>
          </wp:anchor>
        </w:drawing>
      </w:r>
      <w:r w:rsidRPr="00B64D24">
        <w:rPr>
          <w:rFonts w:ascii="Arial" w:hAnsi="Arial" w:cs="Arial"/>
          <w:b/>
          <w:noProof/>
        </w:rPr>
        <w:drawing>
          <wp:anchor distT="0" distB="0" distL="114300" distR="114300" simplePos="0" relativeHeight="251665408" behindDoc="0" locked="0" layoutInCell="1" allowOverlap="0" wp14:anchorId="303423A2" wp14:editId="5B47CC00">
            <wp:simplePos x="0" y="0"/>
            <wp:positionH relativeFrom="page">
              <wp:posOffset>6888253</wp:posOffset>
            </wp:positionH>
            <wp:positionV relativeFrom="page">
              <wp:posOffset>1192567</wp:posOffset>
            </wp:positionV>
            <wp:extent cx="4568" cy="54831"/>
            <wp:effectExtent l="0" t="0" r="0" b="0"/>
            <wp:wrapTopAndBottom/>
            <wp:docPr id="83193" name="Picture 83193"/>
            <wp:cNvGraphicFramePr/>
            <a:graphic xmlns:a="http://schemas.openxmlformats.org/drawingml/2006/main">
              <a:graphicData uri="http://schemas.openxmlformats.org/drawingml/2006/picture">
                <pic:pic xmlns:pic="http://schemas.openxmlformats.org/drawingml/2006/picture">
                  <pic:nvPicPr>
                    <pic:cNvPr id="83193" name="Picture 83193"/>
                    <pic:cNvPicPr/>
                  </pic:nvPicPr>
                  <pic:blipFill>
                    <a:blip r:embed="rId18"/>
                    <a:stretch>
                      <a:fillRect/>
                    </a:stretch>
                  </pic:blipFill>
                  <pic:spPr>
                    <a:xfrm>
                      <a:off x="0" y="0"/>
                      <a:ext cx="4568" cy="54831"/>
                    </a:xfrm>
                    <a:prstGeom prst="rect">
                      <a:avLst/>
                    </a:prstGeom>
                  </pic:spPr>
                </pic:pic>
              </a:graphicData>
            </a:graphic>
          </wp:anchor>
        </w:drawing>
      </w:r>
      <w:r w:rsidRPr="00B64D24">
        <w:rPr>
          <w:rFonts w:ascii="Arial" w:hAnsi="Arial" w:cs="Arial"/>
          <w:b/>
          <w:noProof/>
        </w:rPr>
        <w:drawing>
          <wp:anchor distT="0" distB="0" distL="114300" distR="114300" simplePos="0" relativeHeight="251666432" behindDoc="0" locked="0" layoutInCell="1" allowOverlap="0" wp14:anchorId="6C6A0725" wp14:editId="3AA10CE7">
            <wp:simplePos x="0" y="0"/>
            <wp:positionH relativeFrom="page">
              <wp:posOffset>6888253</wp:posOffset>
            </wp:positionH>
            <wp:positionV relativeFrom="page">
              <wp:posOffset>4167129</wp:posOffset>
            </wp:positionV>
            <wp:extent cx="4568" cy="4569"/>
            <wp:effectExtent l="0" t="0" r="0" b="0"/>
            <wp:wrapSquare wrapText="bothSides"/>
            <wp:docPr id="9909" name="Picture 9909"/>
            <wp:cNvGraphicFramePr/>
            <a:graphic xmlns:a="http://schemas.openxmlformats.org/drawingml/2006/main">
              <a:graphicData uri="http://schemas.openxmlformats.org/drawingml/2006/picture">
                <pic:pic xmlns:pic="http://schemas.openxmlformats.org/drawingml/2006/picture">
                  <pic:nvPicPr>
                    <pic:cNvPr id="9909" name="Picture 9909"/>
                    <pic:cNvPicPr/>
                  </pic:nvPicPr>
                  <pic:blipFill>
                    <a:blip r:embed="rId15"/>
                    <a:stretch>
                      <a:fillRect/>
                    </a:stretch>
                  </pic:blipFill>
                  <pic:spPr>
                    <a:xfrm>
                      <a:off x="0" y="0"/>
                      <a:ext cx="4568" cy="4569"/>
                    </a:xfrm>
                    <a:prstGeom prst="rect">
                      <a:avLst/>
                    </a:prstGeom>
                  </pic:spPr>
                </pic:pic>
              </a:graphicData>
            </a:graphic>
          </wp:anchor>
        </w:drawing>
      </w:r>
      <w:r w:rsidRPr="00B64D24">
        <w:rPr>
          <w:rFonts w:ascii="Arial" w:hAnsi="Arial" w:cs="Arial"/>
          <w:b/>
          <w:noProof/>
        </w:rPr>
        <w:drawing>
          <wp:anchor distT="0" distB="0" distL="114300" distR="114300" simplePos="0" relativeHeight="251667456" behindDoc="0" locked="0" layoutInCell="1" allowOverlap="0" wp14:anchorId="4F78DA80" wp14:editId="6A633F82">
            <wp:simplePos x="0" y="0"/>
            <wp:positionH relativeFrom="page">
              <wp:posOffset>6888253</wp:posOffset>
            </wp:positionH>
            <wp:positionV relativeFrom="page">
              <wp:posOffset>4189975</wp:posOffset>
            </wp:positionV>
            <wp:extent cx="4568" cy="4569"/>
            <wp:effectExtent l="0" t="0" r="0" b="0"/>
            <wp:wrapSquare wrapText="bothSides"/>
            <wp:docPr id="9910" name="Picture 9910"/>
            <wp:cNvGraphicFramePr/>
            <a:graphic xmlns:a="http://schemas.openxmlformats.org/drawingml/2006/main">
              <a:graphicData uri="http://schemas.openxmlformats.org/drawingml/2006/picture">
                <pic:pic xmlns:pic="http://schemas.openxmlformats.org/drawingml/2006/picture">
                  <pic:nvPicPr>
                    <pic:cNvPr id="9910" name="Picture 9910"/>
                    <pic:cNvPicPr/>
                  </pic:nvPicPr>
                  <pic:blipFill>
                    <a:blip r:embed="rId15"/>
                    <a:stretch>
                      <a:fillRect/>
                    </a:stretch>
                  </pic:blipFill>
                  <pic:spPr>
                    <a:xfrm>
                      <a:off x="0" y="0"/>
                      <a:ext cx="4568" cy="4569"/>
                    </a:xfrm>
                    <a:prstGeom prst="rect">
                      <a:avLst/>
                    </a:prstGeom>
                  </pic:spPr>
                </pic:pic>
              </a:graphicData>
            </a:graphic>
          </wp:anchor>
        </w:drawing>
      </w:r>
      <w:r w:rsidRPr="00B64D24">
        <w:rPr>
          <w:rFonts w:ascii="Arial" w:hAnsi="Arial" w:cs="Arial"/>
          <w:b/>
        </w:rPr>
        <w:t>A</w:t>
      </w:r>
      <w:r w:rsidR="00A2760A">
        <w:rPr>
          <w:rFonts w:ascii="Arial" w:hAnsi="Arial" w:cs="Arial"/>
          <w:b/>
        </w:rPr>
        <w:t xml:space="preserve">RTICULO </w:t>
      </w:r>
      <w:r w:rsidRPr="00B64D24">
        <w:rPr>
          <w:rFonts w:ascii="Arial" w:hAnsi="Arial" w:cs="Arial"/>
          <w:b/>
        </w:rPr>
        <w:t>5</w:t>
      </w:r>
      <w:r>
        <w:t xml:space="preserve">. </w:t>
      </w:r>
      <w:r w:rsidRPr="00B64D24">
        <w:rPr>
          <w:rFonts w:ascii="Arial" w:hAnsi="Arial" w:cs="Arial"/>
        </w:rPr>
        <w:t xml:space="preserve">Modifíquese el artículo 156 del Decreto Ley 4635 de 2011, Decreto por el cual se dictan medidas de asistencia, atención, reparación integral y de restitución de tierras a las víctimas pertenecientes a comunidades negras, afrocolombianas, raizales </w:t>
      </w:r>
      <w:r w:rsidRPr="00B64D24">
        <w:rPr>
          <w:rFonts w:ascii="Arial" w:eastAsia="Courier New" w:hAnsi="Arial" w:cs="Arial"/>
        </w:rPr>
        <w:t xml:space="preserve">y palenqueras, el cual quedará </w:t>
      </w:r>
      <w:r w:rsidR="00B4772B" w:rsidRPr="00B64D24">
        <w:rPr>
          <w:rFonts w:ascii="Arial" w:eastAsia="Courier New" w:hAnsi="Arial" w:cs="Arial"/>
        </w:rPr>
        <w:t>así</w:t>
      </w:r>
      <w:r w:rsidRPr="00B64D24">
        <w:rPr>
          <w:rFonts w:ascii="Arial" w:eastAsia="Courier New" w:hAnsi="Arial" w:cs="Arial"/>
        </w:rPr>
        <w:t>:</w:t>
      </w:r>
    </w:p>
    <w:p w:rsidR="00B64D24" w:rsidRDefault="00B64D24" w:rsidP="002F20A4">
      <w:pPr>
        <w:pStyle w:val="NormalWeb"/>
        <w:spacing w:line="270" w:lineRule="atLeast"/>
        <w:ind w:left="708"/>
        <w:jc w:val="both"/>
      </w:pPr>
      <w:r w:rsidRPr="00B64D24">
        <w:rPr>
          <w:rFonts w:ascii="Arial" w:hAnsi="Arial" w:cs="Arial"/>
          <w:b/>
        </w:rPr>
        <w:t>Artículo 156. VIGENCIA Y DEROGATORIAS</w:t>
      </w:r>
      <w:r>
        <w:t>. El presente Decreto rige a partir de su promulgación, tendrá una vigencia de 20 años, y deroga todas las disposiciones que le sean contrarias.</w:t>
      </w:r>
    </w:p>
    <w:p w:rsidR="002D17DE" w:rsidRPr="00B514AD" w:rsidRDefault="002D17DE" w:rsidP="002D17DE">
      <w:pPr>
        <w:spacing w:after="0" w:line="240" w:lineRule="auto"/>
        <w:jc w:val="both"/>
        <w:rPr>
          <w:rFonts w:ascii="Arial" w:hAnsi="Arial" w:cs="Arial"/>
        </w:rPr>
      </w:pPr>
      <w:r w:rsidRPr="00B514AD">
        <w:rPr>
          <w:rFonts w:ascii="Arial" w:hAnsi="Arial" w:cs="Arial"/>
          <w:b/>
        </w:rPr>
        <w:t xml:space="preserve">ARTÍCULO </w:t>
      </w:r>
      <w:r w:rsidR="00B64D24">
        <w:rPr>
          <w:rFonts w:ascii="Arial" w:hAnsi="Arial" w:cs="Arial"/>
          <w:b/>
        </w:rPr>
        <w:t>6</w:t>
      </w:r>
      <w:r w:rsidRPr="00B514AD">
        <w:rPr>
          <w:rFonts w:ascii="Arial" w:hAnsi="Arial" w:cs="Arial"/>
          <w:b/>
        </w:rPr>
        <w:t xml:space="preserve">º. Vigencia. </w:t>
      </w:r>
      <w:r w:rsidRPr="00B514AD">
        <w:rPr>
          <w:rFonts w:ascii="Arial" w:hAnsi="Arial" w:cs="Arial"/>
        </w:rPr>
        <w:t xml:space="preserve">La presente ley rige a partir de su promulgación y deroga las disposiciones que le sean contrarias.  </w:t>
      </w:r>
    </w:p>
    <w:p w:rsidR="002D17DE" w:rsidRPr="00B514AD" w:rsidRDefault="002D17DE" w:rsidP="002D17DE">
      <w:pPr>
        <w:spacing w:after="0" w:line="240" w:lineRule="auto"/>
        <w:jc w:val="both"/>
        <w:rPr>
          <w:rFonts w:ascii="Arial" w:hAnsi="Arial" w:cs="Arial"/>
        </w:rPr>
      </w:pPr>
    </w:p>
    <w:p w:rsidR="002D17DE" w:rsidRPr="00B514AD" w:rsidRDefault="002D17DE" w:rsidP="002D17DE">
      <w:pPr>
        <w:spacing w:after="0" w:line="240" w:lineRule="auto"/>
        <w:jc w:val="both"/>
        <w:rPr>
          <w:rFonts w:ascii="Arial" w:hAnsi="Arial" w:cs="Arial"/>
        </w:rPr>
      </w:pPr>
      <w:r w:rsidRPr="00B514AD">
        <w:rPr>
          <w:rFonts w:ascii="Arial" w:hAnsi="Arial" w:cs="Arial"/>
        </w:rPr>
        <w:t xml:space="preserve">Cordialmente, </w:t>
      </w:r>
    </w:p>
    <w:p w:rsidR="002247CD" w:rsidRPr="00B514AD" w:rsidRDefault="002247CD" w:rsidP="002247CD">
      <w:pPr>
        <w:spacing w:after="0" w:line="240" w:lineRule="auto"/>
        <w:jc w:val="both"/>
        <w:rPr>
          <w:rFonts w:ascii="Arial" w:hAnsi="Arial" w:cs="Arial"/>
          <w:b/>
          <w:lang w:val="es-ES_tradnl"/>
        </w:rPr>
      </w:pPr>
    </w:p>
    <w:p w:rsidR="00B514AD" w:rsidRDefault="00B514AD" w:rsidP="002247CD">
      <w:pPr>
        <w:spacing w:after="0" w:line="240" w:lineRule="auto"/>
        <w:rPr>
          <w:rFonts w:ascii="Arial" w:hAnsi="Arial" w:cs="Arial"/>
          <w:b/>
          <w:lang w:val="es-ES_tradnl"/>
        </w:rPr>
      </w:pPr>
    </w:p>
    <w:p w:rsidR="002F20A4" w:rsidRDefault="002F20A4" w:rsidP="002247CD">
      <w:pPr>
        <w:spacing w:after="0" w:line="240" w:lineRule="auto"/>
        <w:rPr>
          <w:rFonts w:ascii="Arial" w:hAnsi="Arial" w:cs="Arial"/>
          <w:b/>
          <w:lang w:val="es-ES_tradnl"/>
        </w:rPr>
      </w:pPr>
    </w:p>
    <w:p w:rsidR="002F20A4" w:rsidRPr="00B514AD" w:rsidRDefault="002F20A4" w:rsidP="002F20A4">
      <w:pPr>
        <w:spacing w:after="0" w:line="240" w:lineRule="auto"/>
        <w:rPr>
          <w:rFonts w:ascii="Arial" w:hAnsi="Arial" w:cs="Arial"/>
          <w:b/>
          <w:lang w:val="es-ES_tradnl"/>
        </w:rPr>
      </w:pPr>
      <w:r w:rsidRPr="00B514AD">
        <w:rPr>
          <w:rFonts w:ascii="Arial" w:hAnsi="Arial" w:cs="Arial"/>
          <w:b/>
          <w:lang w:val="es-ES_tradnl"/>
        </w:rPr>
        <w:t>JOHN JAIRO HOYOS GARCIA</w:t>
      </w:r>
      <w:r w:rsidRPr="002F20A4">
        <w:rPr>
          <w:rFonts w:ascii="Arial" w:hAnsi="Arial" w:cs="Arial"/>
          <w:b/>
          <w:lang w:val="es-ES_tradnl"/>
        </w:rPr>
        <w:t xml:space="preserve"> </w:t>
      </w:r>
      <w:r>
        <w:rPr>
          <w:rFonts w:ascii="Arial" w:hAnsi="Arial" w:cs="Arial"/>
          <w:b/>
          <w:lang w:val="es-ES_tradnl"/>
        </w:rPr>
        <w:t xml:space="preserve">            </w:t>
      </w:r>
      <w:r w:rsidRPr="00B514AD">
        <w:rPr>
          <w:rFonts w:ascii="Arial" w:hAnsi="Arial" w:cs="Arial"/>
          <w:b/>
          <w:lang w:val="es-ES_tradnl"/>
        </w:rPr>
        <w:t>JUAN CARLOS LOZADA VARGAS</w:t>
      </w:r>
    </w:p>
    <w:p w:rsidR="002F20A4" w:rsidRPr="00B514AD" w:rsidRDefault="002F20A4" w:rsidP="002F20A4">
      <w:pPr>
        <w:spacing w:after="0" w:line="240" w:lineRule="auto"/>
        <w:rPr>
          <w:rFonts w:ascii="Arial" w:hAnsi="Arial" w:cs="Arial"/>
          <w:b/>
          <w:lang w:val="es-ES_tradnl"/>
        </w:rPr>
      </w:pPr>
    </w:p>
    <w:p w:rsidR="002F20A4" w:rsidRPr="00B514AD" w:rsidRDefault="002F20A4" w:rsidP="002F20A4">
      <w:pPr>
        <w:spacing w:after="0" w:line="240" w:lineRule="auto"/>
        <w:rPr>
          <w:rFonts w:ascii="Arial" w:hAnsi="Arial" w:cs="Arial"/>
          <w:b/>
          <w:lang w:val="es-ES_tradnl"/>
        </w:rPr>
      </w:pPr>
      <w:r w:rsidRPr="00B514AD">
        <w:rPr>
          <w:rFonts w:ascii="Arial" w:hAnsi="Arial" w:cs="Arial"/>
          <w:b/>
          <w:lang w:val="es-ES_tradnl"/>
        </w:rPr>
        <w:t xml:space="preserve">Coordinador Ponente </w:t>
      </w:r>
      <w:r>
        <w:rPr>
          <w:rFonts w:ascii="Arial" w:hAnsi="Arial" w:cs="Arial"/>
          <w:b/>
          <w:lang w:val="es-ES_tradnl"/>
        </w:rPr>
        <w:t xml:space="preserve">                           </w:t>
      </w:r>
      <w:r w:rsidRPr="00B514AD">
        <w:rPr>
          <w:rFonts w:ascii="Arial" w:hAnsi="Arial" w:cs="Arial"/>
          <w:b/>
          <w:lang w:val="es-ES_tradnl"/>
        </w:rPr>
        <w:t>Coordinador Ponente</w:t>
      </w:r>
    </w:p>
    <w:p w:rsidR="002F20A4" w:rsidRPr="00B514AD" w:rsidRDefault="002F20A4" w:rsidP="002F20A4">
      <w:pPr>
        <w:spacing w:after="0" w:line="240" w:lineRule="auto"/>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p>
    <w:p w:rsidR="002F20A4" w:rsidRDefault="002F20A4" w:rsidP="002247CD">
      <w:pPr>
        <w:spacing w:after="0" w:line="240" w:lineRule="auto"/>
        <w:rPr>
          <w:rFonts w:ascii="Arial" w:hAnsi="Arial" w:cs="Arial"/>
          <w:b/>
          <w:lang w:val="es-ES_tradnl"/>
        </w:rPr>
        <w:sectPr w:rsidR="002F20A4" w:rsidSect="00EC5F4C">
          <w:type w:val="continuous"/>
          <w:pgSz w:w="12240" w:h="15840" w:code="1"/>
          <w:pgMar w:top="1134" w:right="1701" w:bottom="1134" w:left="1701" w:header="709" w:footer="709" w:gutter="0"/>
          <w:cols w:space="708"/>
          <w:docGrid w:linePitch="360"/>
        </w:sectPr>
      </w:pPr>
    </w:p>
    <w:p w:rsidR="002247CD" w:rsidRPr="00B514AD" w:rsidRDefault="002247CD" w:rsidP="002247CD">
      <w:pPr>
        <w:spacing w:after="0" w:line="240" w:lineRule="auto"/>
        <w:rPr>
          <w:rFonts w:ascii="Arial" w:hAnsi="Arial" w:cs="Arial"/>
          <w:b/>
          <w:lang w:val="es-ES_tradnl"/>
        </w:rPr>
      </w:pPr>
    </w:p>
    <w:p w:rsidR="00B64D24" w:rsidRDefault="00B64D24" w:rsidP="002247CD">
      <w:pPr>
        <w:spacing w:after="0" w:line="240" w:lineRule="auto"/>
        <w:jc w:val="center"/>
        <w:rPr>
          <w:rFonts w:ascii="Arial" w:hAnsi="Arial" w:cs="Arial"/>
          <w:b/>
          <w:lang w:val="es-ES_tradnl"/>
        </w:rPr>
      </w:pPr>
    </w:p>
    <w:p w:rsidR="00B514AD" w:rsidRDefault="00B514AD" w:rsidP="002247CD">
      <w:pPr>
        <w:spacing w:after="0" w:line="240" w:lineRule="auto"/>
        <w:jc w:val="both"/>
        <w:rPr>
          <w:rFonts w:ascii="Arial" w:hAnsi="Arial" w:cs="Arial"/>
          <w:lang w:val="es-ES_tradnl"/>
        </w:rPr>
        <w:sectPr w:rsidR="00B514AD" w:rsidSect="00B514AD">
          <w:type w:val="continuous"/>
          <w:pgSz w:w="12240" w:h="15840" w:code="1"/>
          <w:pgMar w:top="1134" w:right="1701" w:bottom="1134" w:left="1701" w:header="709" w:footer="709" w:gutter="0"/>
          <w:cols w:num="2" w:space="708"/>
          <w:docGrid w:linePitch="360"/>
        </w:sectPr>
      </w:pPr>
    </w:p>
    <w:p w:rsidR="002F20A4" w:rsidRPr="00B514AD" w:rsidRDefault="002F20A4" w:rsidP="002F20A4">
      <w:pPr>
        <w:spacing w:after="0" w:line="240" w:lineRule="auto"/>
        <w:rPr>
          <w:rFonts w:ascii="Arial" w:hAnsi="Arial" w:cs="Arial"/>
          <w:b/>
          <w:lang w:val="es-ES_tradnl"/>
        </w:rPr>
      </w:pPr>
      <w:r w:rsidRPr="00B514AD">
        <w:rPr>
          <w:rFonts w:ascii="Arial" w:hAnsi="Arial" w:cs="Arial"/>
          <w:b/>
          <w:lang w:val="es-ES_tradnl"/>
        </w:rPr>
        <w:lastRenderedPageBreak/>
        <w:t>JOSE DANIEL LOPEZ JIMENEZ</w:t>
      </w:r>
    </w:p>
    <w:p w:rsidR="002F20A4" w:rsidRPr="00B514AD" w:rsidRDefault="002F20A4" w:rsidP="002F20A4">
      <w:pPr>
        <w:spacing w:after="0" w:line="240" w:lineRule="auto"/>
        <w:jc w:val="center"/>
        <w:rPr>
          <w:rFonts w:ascii="Arial" w:hAnsi="Arial" w:cs="Arial"/>
          <w:b/>
          <w:lang w:val="es-ES_tradnl"/>
        </w:rPr>
      </w:pPr>
      <w:r w:rsidRPr="00B514AD">
        <w:rPr>
          <w:rFonts w:ascii="Arial" w:hAnsi="Arial" w:cs="Arial"/>
          <w:b/>
          <w:lang w:val="es-ES_tradnl"/>
        </w:rPr>
        <w:t>Ponente</w:t>
      </w: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p>
    <w:p w:rsidR="002F20A4"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r w:rsidRPr="00B514AD">
        <w:rPr>
          <w:rFonts w:ascii="Arial" w:hAnsi="Arial" w:cs="Arial"/>
          <w:b/>
          <w:lang w:val="es-ES_tradnl"/>
        </w:rPr>
        <w:t>GABRIEL JAIME VALLEJO CHUJFI</w:t>
      </w:r>
    </w:p>
    <w:p w:rsidR="002F20A4" w:rsidRPr="00B514AD" w:rsidRDefault="002F20A4" w:rsidP="002F20A4">
      <w:pPr>
        <w:spacing w:after="0" w:line="240" w:lineRule="auto"/>
        <w:jc w:val="center"/>
        <w:rPr>
          <w:rFonts w:ascii="Arial" w:hAnsi="Arial" w:cs="Arial"/>
          <w:b/>
          <w:lang w:val="es-ES_tradnl"/>
        </w:rPr>
      </w:pPr>
      <w:r w:rsidRPr="00B514AD">
        <w:rPr>
          <w:rFonts w:ascii="Arial" w:hAnsi="Arial" w:cs="Arial"/>
          <w:b/>
          <w:lang w:val="es-ES_tradnl"/>
        </w:rPr>
        <w:t>Ponente</w:t>
      </w: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rPr>
          <w:rFonts w:ascii="Arial" w:hAnsi="Arial" w:cs="Arial"/>
          <w:b/>
          <w:lang w:val="es-ES_tradnl"/>
        </w:rPr>
      </w:pPr>
      <w:r w:rsidRPr="00B514AD">
        <w:rPr>
          <w:rFonts w:ascii="Arial" w:hAnsi="Arial" w:cs="Arial"/>
          <w:b/>
          <w:lang w:val="es-ES_tradnl"/>
        </w:rPr>
        <w:lastRenderedPageBreak/>
        <w:t xml:space="preserve">BUENAVENTURA LEON </w:t>
      </w:r>
      <w:proofErr w:type="spellStart"/>
      <w:r w:rsidRPr="00B514AD">
        <w:rPr>
          <w:rFonts w:ascii="Arial" w:hAnsi="Arial" w:cs="Arial"/>
          <w:b/>
          <w:lang w:val="es-ES_tradnl"/>
        </w:rPr>
        <w:t>LEON</w:t>
      </w:r>
      <w:proofErr w:type="spellEnd"/>
    </w:p>
    <w:p w:rsidR="002F20A4" w:rsidRPr="00B514AD" w:rsidRDefault="002F20A4" w:rsidP="002F20A4">
      <w:pPr>
        <w:spacing w:after="0" w:line="240" w:lineRule="auto"/>
        <w:jc w:val="center"/>
        <w:rPr>
          <w:rFonts w:ascii="Arial" w:hAnsi="Arial" w:cs="Arial"/>
          <w:b/>
          <w:lang w:val="es-ES_tradnl"/>
        </w:rPr>
      </w:pPr>
      <w:r w:rsidRPr="00B514AD">
        <w:rPr>
          <w:rFonts w:ascii="Arial" w:hAnsi="Arial" w:cs="Arial"/>
          <w:b/>
          <w:lang w:val="es-ES_tradnl"/>
        </w:rPr>
        <w:t>Ponente</w:t>
      </w: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p>
    <w:p w:rsidR="002F20A4"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r w:rsidRPr="00B514AD">
        <w:rPr>
          <w:rFonts w:ascii="Arial" w:hAnsi="Arial" w:cs="Arial"/>
          <w:b/>
          <w:lang w:val="es-ES_tradnl"/>
        </w:rPr>
        <w:t>JUANITA GOEBERTUS ESTRADA</w:t>
      </w:r>
    </w:p>
    <w:p w:rsidR="002F20A4" w:rsidRPr="00B514AD" w:rsidRDefault="002F20A4" w:rsidP="002F20A4">
      <w:pPr>
        <w:spacing w:after="0" w:line="240" w:lineRule="auto"/>
        <w:jc w:val="center"/>
        <w:rPr>
          <w:rFonts w:ascii="Arial" w:hAnsi="Arial" w:cs="Arial"/>
          <w:b/>
          <w:lang w:val="es-ES_tradnl"/>
        </w:rPr>
      </w:pPr>
      <w:r w:rsidRPr="00B514AD">
        <w:rPr>
          <w:rFonts w:ascii="Arial" w:hAnsi="Arial" w:cs="Arial"/>
          <w:b/>
          <w:lang w:val="es-ES_tradnl"/>
        </w:rPr>
        <w:t>Ponente</w:t>
      </w:r>
    </w:p>
    <w:p w:rsidR="002F20A4" w:rsidRPr="00B514AD" w:rsidRDefault="002F20A4" w:rsidP="002F20A4">
      <w:pPr>
        <w:spacing w:after="0" w:line="240" w:lineRule="auto"/>
        <w:jc w:val="center"/>
        <w:rPr>
          <w:rFonts w:ascii="Arial" w:hAnsi="Arial" w:cs="Arial"/>
          <w:b/>
          <w:lang w:val="es-ES_tradnl"/>
        </w:rPr>
      </w:pPr>
    </w:p>
    <w:p w:rsidR="002F20A4" w:rsidRPr="00B514AD" w:rsidRDefault="002F20A4" w:rsidP="002F20A4">
      <w:pPr>
        <w:jc w:val="center"/>
        <w:rPr>
          <w:rFonts w:ascii="Arial" w:hAnsi="Arial" w:cs="Arial"/>
          <w:b/>
          <w:lang w:val="es-ES_tradnl"/>
        </w:rPr>
        <w:sectPr w:rsidR="002F20A4" w:rsidRPr="00B514AD" w:rsidSect="00B514AD">
          <w:type w:val="continuous"/>
          <w:pgSz w:w="12240" w:h="15840" w:code="1"/>
          <w:pgMar w:top="1134" w:right="1701" w:bottom="1134" w:left="1701" w:header="709" w:footer="709" w:gutter="0"/>
          <w:cols w:num="2" w:space="708"/>
          <w:docGrid w:linePitch="360"/>
        </w:sectPr>
      </w:pPr>
    </w:p>
    <w:p w:rsidR="002F20A4" w:rsidRDefault="002F20A4" w:rsidP="002F20A4">
      <w:pPr>
        <w:spacing w:after="0" w:line="240" w:lineRule="auto"/>
        <w:jc w:val="center"/>
        <w:rPr>
          <w:rFonts w:ascii="Arial" w:hAnsi="Arial" w:cs="Arial"/>
          <w:b/>
          <w:lang w:val="es-ES_tradnl"/>
        </w:rPr>
      </w:pPr>
    </w:p>
    <w:p w:rsidR="002F20A4" w:rsidRDefault="002F20A4" w:rsidP="002F20A4">
      <w:pPr>
        <w:spacing w:after="0" w:line="240" w:lineRule="auto"/>
        <w:jc w:val="center"/>
        <w:rPr>
          <w:rFonts w:ascii="Arial" w:hAnsi="Arial" w:cs="Arial"/>
          <w:b/>
          <w:lang w:val="es-ES_tradnl"/>
        </w:rPr>
      </w:pPr>
    </w:p>
    <w:p w:rsidR="002F20A4" w:rsidRPr="00B514AD" w:rsidRDefault="002F20A4" w:rsidP="002F20A4">
      <w:pPr>
        <w:spacing w:after="0" w:line="240" w:lineRule="auto"/>
        <w:jc w:val="center"/>
        <w:rPr>
          <w:rFonts w:ascii="Arial" w:hAnsi="Arial" w:cs="Arial"/>
          <w:b/>
          <w:lang w:val="es-ES_tradnl"/>
        </w:rPr>
      </w:pPr>
      <w:r w:rsidRPr="00B514AD">
        <w:rPr>
          <w:rFonts w:ascii="Arial" w:hAnsi="Arial" w:cs="Arial"/>
          <w:b/>
          <w:lang w:val="es-ES_tradnl"/>
        </w:rPr>
        <w:t>LUIS ALBERTO ALBAN URBANO</w:t>
      </w:r>
    </w:p>
    <w:p w:rsidR="00E27302" w:rsidRPr="00B514AD" w:rsidRDefault="002F20A4" w:rsidP="00B4772B">
      <w:pPr>
        <w:spacing w:after="0" w:line="240" w:lineRule="auto"/>
        <w:jc w:val="center"/>
        <w:rPr>
          <w:rFonts w:ascii="Arial" w:hAnsi="Arial" w:cs="Arial"/>
          <w:lang w:val="es-ES_tradnl"/>
        </w:rPr>
      </w:pPr>
      <w:r w:rsidRPr="00B514AD">
        <w:rPr>
          <w:rFonts w:ascii="Arial" w:hAnsi="Arial" w:cs="Arial"/>
          <w:b/>
          <w:lang w:val="es-ES_tradnl"/>
        </w:rPr>
        <w:t>Ponente</w:t>
      </w:r>
    </w:p>
    <w:sectPr w:rsidR="00E27302" w:rsidRPr="00B514AD" w:rsidSect="00EC5F4C">
      <w:type w:val="continuous"/>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48" w:rsidRDefault="008F0548" w:rsidP="008A016C">
      <w:pPr>
        <w:spacing w:after="0" w:line="240" w:lineRule="auto"/>
      </w:pPr>
      <w:r>
        <w:separator/>
      </w:r>
    </w:p>
  </w:endnote>
  <w:endnote w:type="continuationSeparator" w:id="0">
    <w:p w:rsidR="008F0548" w:rsidRDefault="008F0548" w:rsidP="008A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82266"/>
      <w:docPartObj>
        <w:docPartGallery w:val="Page Numbers (Bottom of Page)"/>
        <w:docPartUnique/>
      </w:docPartObj>
    </w:sdtPr>
    <w:sdtEndPr/>
    <w:sdtContent>
      <w:p w:rsidR="005377EC" w:rsidRDefault="005377EC"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5377EC" w:rsidRDefault="005377EC">
                              <w:pPr>
                                <w:jc w:val="center"/>
                                <w:rPr>
                                  <w:color w:val="4F81BD" w:themeColor="accent1"/>
                                </w:rPr>
                              </w:pPr>
                              <w:r>
                                <w:fldChar w:fldCharType="begin"/>
                              </w:r>
                              <w:r>
                                <w:instrText>PAGE    \* MERGEFORMAT</w:instrText>
                              </w:r>
                              <w:r>
                                <w:fldChar w:fldCharType="separate"/>
                              </w:r>
                              <w:r w:rsidR="00F744FE" w:rsidRPr="00F744FE">
                                <w:rPr>
                                  <w:noProof/>
                                  <w:color w:val="4F81BD" w:themeColor="accent1"/>
                                  <w:lang w:val="es-ES"/>
                                </w:rPr>
                                <w:t>30</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5377EC" w:rsidRDefault="005377EC">
                        <w:pPr>
                          <w:jc w:val="center"/>
                          <w:rPr>
                            <w:color w:val="4F81BD" w:themeColor="accent1"/>
                          </w:rPr>
                        </w:pPr>
                        <w:r>
                          <w:fldChar w:fldCharType="begin"/>
                        </w:r>
                        <w:r>
                          <w:instrText>PAGE    \* MERGEFORMAT</w:instrText>
                        </w:r>
                        <w:r>
                          <w:fldChar w:fldCharType="separate"/>
                        </w:r>
                        <w:r w:rsidR="00F744FE" w:rsidRPr="00F744FE">
                          <w:rPr>
                            <w:noProof/>
                            <w:color w:val="4F81BD" w:themeColor="accent1"/>
                            <w:lang w:val="es-ES"/>
                          </w:rPr>
                          <w:t>30</w:t>
                        </w:r>
                        <w:r>
                          <w:rPr>
                            <w:color w:val="4F81BD"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5231"/>
      <w:docPartObj>
        <w:docPartGallery w:val="Page Numbers (Bottom of Page)"/>
        <w:docPartUnique/>
      </w:docPartObj>
    </w:sdtPr>
    <w:sdtEndPr/>
    <w:sdtContent>
      <w:p w:rsidR="005377EC" w:rsidRDefault="005377EC"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061C1C50" wp14:editId="7F76E274">
                  <wp:simplePos x="0" y="0"/>
                  <wp:positionH relativeFrom="margin">
                    <wp:align>center</wp:align>
                  </wp:positionH>
                  <wp:positionV relativeFrom="bottomMargin">
                    <wp:align>center</wp:align>
                  </wp:positionV>
                  <wp:extent cx="1282700" cy="343535"/>
                  <wp:effectExtent l="38100" t="19050" r="50800" b="18415"/>
                  <wp:wrapNone/>
                  <wp:docPr id="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5377EC" w:rsidRDefault="005377EC">
                              <w:pPr>
                                <w:jc w:val="center"/>
                                <w:rPr>
                                  <w:color w:val="4F81BD" w:themeColor="accent1"/>
                                </w:rPr>
                              </w:pPr>
                              <w:r>
                                <w:fldChar w:fldCharType="begin"/>
                              </w:r>
                              <w:r>
                                <w:instrText>PAGE    \* MERGEFORMAT</w:instrText>
                              </w:r>
                              <w:r>
                                <w:fldChar w:fldCharType="separate"/>
                              </w:r>
                              <w:r w:rsidR="005150A9" w:rsidRPr="005150A9">
                                <w:rPr>
                                  <w:noProof/>
                                  <w:color w:val="4F81BD" w:themeColor="accent1"/>
                                  <w:lang w:val="es-ES"/>
                                </w:rPr>
                                <w:t>31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1C5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left:0;text-align:left;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Jn6sMK1AgAAjgUAAA4AAAAA&#10;AAAAAAAAAAAALgIAAGRycy9lMm9Eb2MueG1sUEsBAi0AFAAGAAgAAAAhAOexYEvXAAAABAEAAA8A&#10;AAAAAAAAAAAAAAAADwUAAGRycy9kb3ducmV2LnhtbFBLBQYAAAAABAAEAPMAAAATBgAAAAA=&#10;" filled="f" fillcolor="#17365d" strokecolor="#71a0dc">
                  <v:textbox>
                    <w:txbxContent>
                      <w:p w:rsidR="005377EC" w:rsidRDefault="005377EC">
                        <w:pPr>
                          <w:jc w:val="center"/>
                          <w:rPr>
                            <w:color w:val="4F81BD" w:themeColor="accent1"/>
                          </w:rPr>
                        </w:pPr>
                        <w:r>
                          <w:fldChar w:fldCharType="begin"/>
                        </w:r>
                        <w:r>
                          <w:instrText>PAGE    \* MERGEFORMAT</w:instrText>
                        </w:r>
                        <w:r>
                          <w:fldChar w:fldCharType="separate"/>
                        </w:r>
                        <w:r w:rsidR="005150A9" w:rsidRPr="005150A9">
                          <w:rPr>
                            <w:noProof/>
                            <w:color w:val="4F81BD" w:themeColor="accent1"/>
                            <w:lang w:val="es-ES"/>
                          </w:rPr>
                          <w:t>31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48" w:rsidRDefault="008F0548" w:rsidP="008A016C">
      <w:pPr>
        <w:spacing w:after="0" w:line="240" w:lineRule="auto"/>
      </w:pPr>
      <w:r>
        <w:separator/>
      </w:r>
    </w:p>
  </w:footnote>
  <w:footnote w:type="continuationSeparator" w:id="0">
    <w:p w:rsidR="008F0548" w:rsidRDefault="008F0548" w:rsidP="008A016C">
      <w:pPr>
        <w:spacing w:after="0" w:line="240" w:lineRule="auto"/>
      </w:pPr>
      <w:r>
        <w:continuationSeparator/>
      </w:r>
    </w:p>
  </w:footnote>
  <w:footnote w:id="1">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La ley recoge como principios generales, la dignidad, la buena fe la igualdad, el debido proceso, la justicia transicional, enfoque diferencial, participación conjunta, respeto mutuo, obligación de sanción a los responsables, progresividad sostenibilidad, complementariedad, derecho a la verdad, derecho a la justicia, derecho a la reparación integral, colaboración armónica, aplicación normativa más favorable, entre otros. La subraya de los principios de buena fe, progresividad y colaboración armónica corresponden a la obligación precisa de su aplicabilidad en este caso.</w:t>
      </w:r>
    </w:p>
  </w:footnote>
  <w:footnote w:id="2">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El porcentaje era 87% en 2013.</w:t>
      </w:r>
    </w:p>
  </w:footnote>
  <w:footnote w:id="3">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Véase: Gobierno de Colombia. Informe Anual 2017, págs. 289-300.</w:t>
      </w:r>
    </w:p>
  </w:footnote>
  <w:footnote w:id="4">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Según lo reportado por la UARIV en el tercer informe de la orden 34 del Auto 373/16.</w:t>
      </w:r>
    </w:p>
  </w:footnote>
  <w:footnote w:id="5">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Base del Plan Nacional de Desarrollo 2018-2022 pág. 617 citando un estudio de Sinergia de octubre de 2018.</w:t>
      </w:r>
    </w:p>
  </w:footnote>
  <w:footnote w:id="6">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Base del Plan Nacional de Desarrollo 2018-2022 pág. 617.</w:t>
      </w:r>
    </w:p>
  </w:footnote>
  <w:footnote w:id="7">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Codhes, Las Víctimas en el Plan Nacional de Desarrollo, pág. 67</w:t>
      </w:r>
    </w:p>
  </w:footnote>
  <w:footnote w:id="8">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Comisión de Seguimiento y Monitoreo a la Implementación de la Ley 1448 de 2011. Quinto informe de seguimiento al Congreso de la República.</w:t>
      </w:r>
    </w:p>
  </w:footnote>
  <w:footnote w:id="9">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Ibíd.</w:t>
      </w:r>
    </w:p>
  </w:footnote>
  <w:footnote w:id="10">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Ibíd. </w:t>
      </w:r>
    </w:p>
  </w:footnote>
  <w:footnote w:id="11">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Bases del Plan Nacional de Desarrollo 2018-202. Pág. 618.</w:t>
      </w:r>
    </w:p>
  </w:footnote>
  <w:footnote w:id="12">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Así por ejemplo, en la sentencia T-025 de 2004, sobre los derechos de la población víctima de desplazamiento forzado por la violencia, la Corte indicó que los derechos sociales, económicos y culturales consagrados en la Constitución imponían al Estado, el “deber de abstenerse de adelantar, promover o ejecutar políticas, programas o medidas ostensiblemente regresivos en materia de derechos económicos, sociales y culturales, que conduzcan clara y directamente a agravar la situación de injusticia, de exclusión o de marginación que se pretende corregir, sin que ello impida avanzar gradual y progresivamente hacia el pleno goce de tales derechos”</w:t>
      </w:r>
    </w:p>
  </w:footnote>
  <w:footnote w:id="13">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Síntesis recogida de un documento de la Contraloría General de la República construido a partir del análisis de varias sentencias de la Corte Constitucional. Cfr. Contraloría General de la República, Contraloría Delegada del Sector Agropecuario, 2013. Evaluación del proceso de indemnización administrativa a las víctimas de la violencia en Colombia -Año fiscal 2012–, Bogotá: Autor.</w:t>
      </w:r>
    </w:p>
  </w:footnote>
  <w:footnote w:id="14">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Ayuda Humanitaria, Atención y Asistencia: Esto incluye asistencia en salud, educación, funeraria, humanitaria (emergencia o transitoria, hasta la superación de la contingencia), para el retorno (en el caso del hecho victimizante de desplazamiento forzado), para la reubicación. Estas asistencias, como es lógico dependen de la vigencia de la ley, si la ley no existe, los programas que desarrollan tales asistencias no tendrían asidero jurídico en qué apoyarse, por lo tanto, las víctimas no podrían ejercer su derecho.</w:t>
      </w:r>
    </w:p>
  </w:footnote>
  <w:footnote w:id="15">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Departamento Nacional de Planeación, Bases del Plan Nacional de Desarrollo 2018-2022, Bogotá, 2019, Pág. 809.</w:t>
      </w:r>
    </w:p>
  </w:footnote>
  <w:footnote w:id="16">
    <w:p w:rsidR="005377EC" w:rsidRPr="00B514AD" w:rsidRDefault="005377EC">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Y en esta perspectiva, como herramienta que permitía utilizar mecanismos especiales (por ejemplo, reducir los estándares de reparación ante una victimización masiva) para superar las circunstancias de vulnerabilidad de las víctimas y hacer el tránsito a una sociedad bien ordenada.</w:t>
      </w:r>
    </w:p>
  </w:footnote>
  <w:footnote w:id="17">
    <w:p w:rsidR="005377EC" w:rsidRPr="00B514AD" w:rsidRDefault="005377EC" w:rsidP="00EA5CC2">
      <w:pPr>
        <w:pStyle w:val="Textonotapie"/>
        <w:jc w:val="both"/>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https://www.elespectador.com/noticias/politica/duque-anuncia-proyecto-para-prorrogar-ley-de-victimasdurante-10-anos-mas-articulo-885618 </w:t>
      </w:r>
    </w:p>
  </w:footnote>
  <w:footnote w:id="18">
    <w:p w:rsidR="005377EC" w:rsidRPr="00B514AD" w:rsidRDefault="005377EC" w:rsidP="00EA5CC2">
      <w:pPr>
        <w:pStyle w:val="Textonotapie"/>
        <w:jc w:val="both"/>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No faltaron los esfuerzos gubernamentales y no gubernamentales para atender a las víctimas de atentados terroristas, a la población desplazada por la violencia y a las víctimas de minas antipersonal. El Sistema Nacional de Atención Integral a la Población Desplazada (SNAIPD) y el Programa Presidencial para la Acción Integral Contra Minas Antipersonal desarrollaron en su momento procedimientos y adelantaron procesos de atención a las víctimas de múltiples violencias a lo largo y ancho del país, con mayor o menor efectividad. Lo cual se sumó a los esfuerzos de la Corte Constitucional desde 2004, quien alertó sobre la grave situación de la población desplazada y la calificó como un “estado de cosas inconstitucional”. A partir de este momento emprendió una labor de seguimiento sostenida de las órdenes impartidas mediante la Sentencia T-025 de ese año. Mediante autos de seguimiento, la Corte ha incorporado diversos avances en el marco de protección de los derechos de la población desplazada y ha orientado la revisión y ajuste de las políticas para la atención integral de esta población.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EC" w:rsidRDefault="005377EC" w:rsidP="00AE1739">
    <w:pPr>
      <w:pStyle w:val="Encabezado"/>
      <w:jc w:val="center"/>
    </w:pPr>
  </w:p>
  <w:p w:rsidR="005377EC" w:rsidRDefault="005377EC" w:rsidP="00AE1739">
    <w:pPr>
      <w:pStyle w:val="Encabezado"/>
      <w:jc w:val="center"/>
    </w:pPr>
  </w:p>
  <w:p w:rsidR="005377EC" w:rsidRDefault="005377EC" w:rsidP="00AE1739">
    <w:pPr>
      <w:pStyle w:val="Encabezado"/>
      <w:rPr>
        <w:rFonts w:ascii="Eurostile" w:hAnsi="Eurostile"/>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EC" w:rsidRDefault="005377EC" w:rsidP="00AE1739">
    <w:pPr>
      <w:pStyle w:val="Encabezado"/>
      <w:jc w:val="center"/>
    </w:pPr>
  </w:p>
  <w:p w:rsidR="005377EC" w:rsidRDefault="005377EC" w:rsidP="00AE1739">
    <w:pPr>
      <w:pStyle w:val="Encabezado"/>
      <w:jc w:val="center"/>
    </w:pPr>
  </w:p>
  <w:p w:rsidR="005377EC" w:rsidRDefault="005377EC" w:rsidP="00AE1739">
    <w:pPr>
      <w:pStyle w:val="Encabezado"/>
      <w:rPr>
        <w:rFonts w:ascii="Eurostile" w:hAnsi="Eurostile"/>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C9"/>
    <w:multiLevelType w:val="hybridMultilevel"/>
    <w:tmpl w:val="DCECFF22"/>
    <w:lvl w:ilvl="0" w:tplc="5FACCFE8">
      <w:start w:val="4"/>
      <w:numFmt w:val="lowerRoman"/>
      <w:lvlText w:val="(%1)"/>
      <w:lvlJc w:val="left"/>
      <w:pPr>
        <w:ind w:left="153" w:hanging="393"/>
        <w:jc w:val="left"/>
      </w:pPr>
      <w:rPr>
        <w:rFonts w:ascii="Times New Roman" w:eastAsia="Times New Roman" w:hAnsi="Times New Roman" w:cs="Times New Roman" w:hint="default"/>
        <w:color w:val="231F20"/>
        <w:w w:val="99"/>
        <w:sz w:val="24"/>
        <w:szCs w:val="24"/>
        <w:lang w:val="es-ES" w:eastAsia="es-ES" w:bidi="es-ES"/>
      </w:rPr>
    </w:lvl>
    <w:lvl w:ilvl="1" w:tplc="775C8688">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2" w:tplc="983A8268">
      <w:numFmt w:val="bullet"/>
      <w:lvlText w:val="•"/>
      <w:lvlJc w:val="left"/>
      <w:pPr>
        <w:ind w:left="1311" w:hanging="400"/>
      </w:pPr>
      <w:rPr>
        <w:rFonts w:hint="default"/>
        <w:lang w:val="es-ES" w:eastAsia="es-ES" w:bidi="es-ES"/>
      </w:rPr>
    </w:lvl>
    <w:lvl w:ilvl="3" w:tplc="4C3C17D6">
      <w:numFmt w:val="bullet"/>
      <w:lvlText w:val="•"/>
      <w:lvlJc w:val="left"/>
      <w:pPr>
        <w:ind w:left="1783" w:hanging="400"/>
      </w:pPr>
      <w:rPr>
        <w:rFonts w:hint="default"/>
        <w:lang w:val="es-ES" w:eastAsia="es-ES" w:bidi="es-ES"/>
      </w:rPr>
    </w:lvl>
    <w:lvl w:ilvl="4" w:tplc="CBA28728">
      <w:numFmt w:val="bullet"/>
      <w:lvlText w:val="•"/>
      <w:lvlJc w:val="left"/>
      <w:pPr>
        <w:ind w:left="2255" w:hanging="400"/>
      </w:pPr>
      <w:rPr>
        <w:rFonts w:hint="default"/>
        <w:lang w:val="es-ES" w:eastAsia="es-ES" w:bidi="es-ES"/>
      </w:rPr>
    </w:lvl>
    <w:lvl w:ilvl="5" w:tplc="A914D87E">
      <w:numFmt w:val="bullet"/>
      <w:lvlText w:val="•"/>
      <w:lvlJc w:val="left"/>
      <w:pPr>
        <w:ind w:left="2727" w:hanging="400"/>
      </w:pPr>
      <w:rPr>
        <w:rFonts w:hint="default"/>
        <w:lang w:val="es-ES" w:eastAsia="es-ES" w:bidi="es-ES"/>
      </w:rPr>
    </w:lvl>
    <w:lvl w:ilvl="6" w:tplc="E2D6CBD8">
      <w:numFmt w:val="bullet"/>
      <w:lvlText w:val="•"/>
      <w:lvlJc w:val="left"/>
      <w:pPr>
        <w:ind w:left="3199" w:hanging="400"/>
      </w:pPr>
      <w:rPr>
        <w:rFonts w:hint="default"/>
        <w:lang w:val="es-ES" w:eastAsia="es-ES" w:bidi="es-ES"/>
      </w:rPr>
    </w:lvl>
    <w:lvl w:ilvl="7" w:tplc="B426C96A">
      <w:numFmt w:val="bullet"/>
      <w:lvlText w:val="•"/>
      <w:lvlJc w:val="left"/>
      <w:pPr>
        <w:ind w:left="3671" w:hanging="400"/>
      </w:pPr>
      <w:rPr>
        <w:rFonts w:hint="default"/>
        <w:lang w:val="es-ES" w:eastAsia="es-ES" w:bidi="es-ES"/>
      </w:rPr>
    </w:lvl>
    <w:lvl w:ilvl="8" w:tplc="6D086888">
      <w:numFmt w:val="bullet"/>
      <w:lvlText w:val="•"/>
      <w:lvlJc w:val="left"/>
      <w:pPr>
        <w:ind w:left="4142" w:hanging="400"/>
      </w:pPr>
      <w:rPr>
        <w:rFonts w:hint="default"/>
        <w:lang w:val="es-ES" w:eastAsia="es-ES" w:bidi="es-ES"/>
      </w:rPr>
    </w:lvl>
  </w:abstractNum>
  <w:abstractNum w:abstractNumId="1" w15:restartNumberingAfterBreak="0">
    <w:nsid w:val="05F54593"/>
    <w:multiLevelType w:val="hybridMultilevel"/>
    <w:tmpl w:val="DC2865A4"/>
    <w:lvl w:ilvl="0" w:tplc="A738B06C">
      <w:start w:val="1"/>
      <w:numFmt w:val="lowerLetter"/>
      <w:lvlText w:val="%1)"/>
      <w:lvlJc w:val="left"/>
      <w:pPr>
        <w:ind w:left="833" w:hanging="400"/>
        <w:jc w:val="left"/>
      </w:pPr>
      <w:rPr>
        <w:rFonts w:ascii="Times New Roman" w:eastAsia="Times New Roman" w:hAnsi="Times New Roman" w:cs="Times New Roman" w:hint="default"/>
        <w:color w:val="231F20"/>
        <w:spacing w:val="-23"/>
        <w:w w:val="99"/>
        <w:sz w:val="23"/>
        <w:szCs w:val="23"/>
        <w:lang w:val="es-ES" w:eastAsia="es-ES" w:bidi="es-ES"/>
      </w:rPr>
    </w:lvl>
    <w:lvl w:ilvl="1" w:tplc="B99AC644">
      <w:numFmt w:val="bullet"/>
      <w:lvlText w:val="•"/>
      <w:lvlJc w:val="left"/>
      <w:pPr>
        <w:ind w:left="1257" w:hanging="400"/>
      </w:pPr>
      <w:rPr>
        <w:rFonts w:hint="default"/>
        <w:lang w:val="es-ES" w:eastAsia="es-ES" w:bidi="es-ES"/>
      </w:rPr>
    </w:lvl>
    <w:lvl w:ilvl="2" w:tplc="BB5A1576">
      <w:numFmt w:val="bullet"/>
      <w:lvlText w:val="•"/>
      <w:lvlJc w:val="left"/>
      <w:pPr>
        <w:ind w:left="1674" w:hanging="400"/>
      </w:pPr>
      <w:rPr>
        <w:rFonts w:hint="default"/>
        <w:lang w:val="es-ES" w:eastAsia="es-ES" w:bidi="es-ES"/>
      </w:rPr>
    </w:lvl>
    <w:lvl w:ilvl="3" w:tplc="8D5C956A">
      <w:numFmt w:val="bullet"/>
      <w:lvlText w:val="•"/>
      <w:lvlJc w:val="left"/>
      <w:pPr>
        <w:ind w:left="2091" w:hanging="400"/>
      </w:pPr>
      <w:rPr>
        <w:rFonts w:hint="default"/>
        <w:lang w:val="es-ES" w:eastAsia="es-ES" w:bidi="es-ES"/>
      </w:rPr>
    </w:lvl>
    <w:lvl w:ilvl="4" w:tplc="84EA718A">
      <w:numFmt w:val="bullet"/>
      <w:lvlText w:val="•"/>
      <w:lvlJc w:val="left"/>
      <w:pPr>
        <w:ind w:left="2509" w:hanging="400"/>
      </w:pPr>
      <w:rPr>
        <w:rFonts w:hint="default"/>
        <w:lang w:val="es-ES" w:eastAsia="es-ES" w:bidi="es-ES"/>
      </w:rPr>
    </w:lvl>
    <w:lvl w:ilvl="5" w:tplc="1918FD44">
      <w:numFmt w:val="bullet"/>
      <w:lvlText w:val="•"/>
      <w:lvlJc w:val="left"/>
      <w:pPr>
        <w:ind w:left="2926" w:hanging="400"/>
      </w:pPr>
      <w:rPr>
        <w:rFonts w:hint="default"/>
        <w:lang w:val="es-ES" w:eastAsia="es-ES" w:bidi="es-ES"/>
      </w:rPr>
    </w:lvl>
    <w:lvl w:ilvl="6" w:tplc="D6FE6E3C">
      <w:numFmt w:val="bullet"/>
      <w:lvlText w:val="•"/>
      <w:lvlJc w:val="left"/>
      <w:pPr>
        <w:ind w:left="3343" w:hanging="400"/>
      </w:pPr>
      <w:rPr>
        <w:rFonts w:hint="default"/>
        <w:lang w:val="es-ES" w:eastAsia="es-ES" w:bidi="es-ES"/>
      </w:rPr>
    </w:lvl>
    <w:lvl w:ilvl="7" w:tplc="7EF4FCFC">
      <w:numFmt w:val="bullet"/>
      <w:lvlText w:val="•"/>
      <w:lvlJc w:val="left"/>
      <w:pPr>
        <w:ind w:left="3760" w:hanging="400"/>
      </w:pPr>
      <w:rPr>
        <w:rFonts w:hint="default"/>
        <w:lang w:val="es-ES" w:eastAsia="es-ES" w:bidi="es-ES"/>
      </w:rPr>
    </w:lvl>
    <w:lvl w:ilvl="8" w:tplc="064A9EFC">
      <w:numFmt w:val="bullet"/>
      <w:lvlText w:val="•"/>
      <w:lvlJc w:val="left"/>
      <w:pPr>
        <w:ind w:left="4178" w:hanging="400"/>
      </w:pPr>
      <w:rPr>
        <w:rFonts w:hint="default"/>
        <w:lang w:val="es-ES" w:eastAsia="es-ES" w:bidi="es-ES"/>
      </w:rPr>
    </w:lvl>
  </w:abstractNum>
  <w:abstractNum w:abstractNumId="2" w15:restartNumberingAfterBreak="0">
    <w:nsid w:val="06A2154D"/>
    <w:multiLevelType w:val="hybridMultilevel"/>
    <w:tmpl w:val="C3D2DE32"/>
    <w:lvl w:ilvl="0" w:tplc="A5CAD7E4">
      <w:start w:val="1"/>
      <w:numFmt w:val="decimal"/>
      <w:lvlText w:val="(%1)"/>
      <w:lvlJc w:val="left"/>
      <w:pPr>
        <w:ind w:left="833" w:hanging="400"/>
        <w:jc w:val="left"/>
      </w:pPr>
      <w:rPr>
        <w:rFonts w:ascii="Times New Roman" w:eastAsia="Times New Roman" w:hAnsi="Times New Roman" w:cs="Times New Roman" w:hint="default"/>
        <w:color w:val="231F20"/>
        <w:spacing w:val="-1"/>
        <w:w w:val="99"/>
        <w:sz w:val="23"/>
        <w:szCs w:val="23"/>
        <w:lang w:val="es-ES" w:eastAsia="es-ES" w:bidi="es-ES"/>
      </w:rPr>
    </w:lvl>
    <w:lvl w:ilvl="1" w:tplc="C8A876C6">
      <w:numFmt w:val="bullet"/>
      <w:lvlText w:val="•"/>
      <w:lvlJc w:val="left"/>
      <w:pPr>
        <w:ind w:left="1264" w:hanging="400"/>
      </w:pPr>
      <w:rPr>
        <w:rFonts w:hint="default"/>
        <w:lang w:val="es-ES" w:eastAsia="es-ES" w:bidi="es-ES"/>
      </w:rPr>
    </w:lvl>
    <w:lvl w:ilvl="2" w:tplc="25103926">
      <w:numFmt w:val="bullet"/>
      <w:lvlText w:val="•"/>
      <w:lvlJc w:val="left"/>
      <w:pPr>
        <w:ind w:left="1689" w:hanging="400"/>
      </w:pPr>
      <w:rPr>
        <w:rFonts w:hint="default"/>
        <w:lang w:val="es-ES" w:eastAsia="es-ES" w:bidi="es-ES"/>
      </w:rPr>
    </w:lvl>
    <w:lvl w:ilvl="3" w:tplc="D0668B5A">
      <w:numFmt w:val="bullet"/>
      <w:lvlText w:val="•"/>
      <w:lvlJc w:val="left"/>
      <w:pPr>
        <w:ind w:left="2113" w:hanging="400"/>
      </w:pPr>
      <w:rPr>
        <w:rFonts w:hint="default"/>
        <w:lang w:val="es-ES" w:eastAsia="es-ES" w:bidi="es-ES"/>
      </w:rPr>
    </w:lvl>
    <w:lvl w:ilvl="4" w:tplc="8AB24ED4">
      <w:numFmt w:val="bullet"/>
      <w:lvlText w:val="•"/>
      <w:lvlJc w:val="left"/>
      <w:pPr>
        <w:ind w:left="2538" w:hanging="400"/>
      </w:pPr>
      <w:rPr>
        <w:rFonts w:hint="default"/>
        <w:lang w:val="es-ES" w:eastAsia="es-ES" w:bidi="es-ES"/>
      </w:rPr>
    </w:lvl>
    <w:lvl w:ilvl="5" w:tplc="9B9C1F6C">
      <w:numFmt w:val="bullet"/>
      <w:lvlText w:val="•"/>
      <w:lvlJc w:val="left"/>
      <w:pPr>
        <w:ind w:left="2963" w:hanging="400"/>
      </w:pPr>
      <w:rPr>
        <w:rFonts w:hint="default"/>
        <w:lang w:val="es-ES" w:eastAsia="es-ES" w:bidi="es-ES"/>
      </w:rPr>
    </w:lvl>
    <w:lvl w:ilvl="6" w:tplc="E7AC3990">
      <w:numFmt w:val="bullet"/>
      <w:lvlText w:val="•"/>
      <w:lvlJc w:val="left"/>
      <w:pPr>
        <w:ind w:left="3387" w:hanging="400"/>
      </w:pPr>
      <w:rPr>
        <w:rFonts w:hint="default"/>
        <w:lang w:val="es-ES" w:eastAsia="es-ES" w:bidi="es-ES"/>
      </w:rPr>
    </w:lvl>
    <w:lvl w:ilvl="7" w:tplc="B8ECC7EE">
      <w:numFmt w:val="bullet"/>
      <w:lvlText w:val="•"/>
      <w:lvlJc w:val="left"/>
      <w:pPr>
        <w:ind w:left="3812" w:hanging="400"/>
      </w:pPr>
      <w:rPr>
        <w:rFonts w:hint="default"/>
        <w:lang w:val="es-ES" w:eastAsia="es-ES" w:bidi="es-ES"/>
      </w:rPr>
    </w:lvl>
    <w:lvl w:ilvl="8" w:tplc="B1023F4E">
      <w:numFmt w:val="bullet"/>
      <w:lvlText w:val="•"/>
      <w:lvlJc w:val="left"/>
      <w:pPr>
        <w:ind w:left="4237" w:hanging="400"/>
      </w:pPr>
      <w:rPr>
        <w:rFonts w:hint="default"/>
        <w:lang w:val="es-ES" w:eastAsia="es-ES" w:bidi="es-ES"/>
      </w:rPr>
    </w:lvl>
  </w:abstractNum>
  <w:abstractNum w:abstractNumId="3" w15:restartNumberingAfterBreak="0">
    <w:nsid w:val="0A464962"/>
    <w:multiLevelType w:val="multilevel"/>
    <w:tmpl w:val="3D1CD65A"/>
    <w:lvl w:ilvl="0">
      <w:start w:val="37"/>
      <w:numFmt w:val="decimal"/>
      <w:lvlText w:val="%1"/>
      <w:lvlJc w:val="left"/>
      <w:pPr>
        <w:ind w:left="153" w:hanging="823"/>
        <w:jc w:val="left"/>
      </w:pPr>
      <w:rPr>
        <w:rFonts w:hint="default"/>
        <w:lang w:val="es-ES" w:eastAsia="es-ES" w:bidi="es-ES"/>
      </w:rPr>
    </w:lvl>
    <w:lvl w:ilvl="1">
      <w:start w:val="171"/>
      <w:numFmt w:val="decimal"/>
      <w:lvlText w:val="%1.%2"/>
      <w:lvlJc w:val="left"/>
      <w:pPr>
        <w:ind w:left="153" w:hanging="823"/>
        <w:jc w:val="left"/>
      </w:pPr>
      <w:rPr>
        <w:rFonts w:ascii="Times New Roman" w:eastAsia="Times New Roman" w:hAnsi="Times New Roman" w:cs="Times New Roman" w:hint="default"/>
        <w:color w:val="231F20"/>
        <w:spacing w:val="-21"/>
        <w:w w:val="99"/>
        <w:sz w:val="24"/>
        <w:szCs w:val="24"/>
        <w:lang w:val="es-ES" w:eastAsia="es-ES" w:bidi="es-ES"/>
      </w:rPr>
    </w:lvl>
    <w:lvl w:ilvl="2">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3">
      <w:numFmt w:val="bullet"/>
      <w:lvlText w:val="•"/>
      <w:lvlJc w:val="left"/>
      <w:pPr>
        <w:ind w:left="622" w:hanging="400"/>
      </w:pPr>
      <w:rPr>
        <w:rFonts w:hint="default"/>
        <w:lang w:val="es-ES" w:eastAsia="es-ES" w:bidi="es-ES"/>
      </w:rPr>
    </w:lvl>
    <w:lvl w:ilvl="4">
      <w:numFmt w:val="bullet"/>
      <w:lvlText w:val="•"/>
      <w:lvlJc w:val="left"/>
      <w:pPr>
        <w:ind w:left="514" w:hanging="400"/>
      </w:pPr>
      <w:rPr>
        <w:rFonts w:hint="default"/>
        <w:lang w:val="es-ES" w:eastAsia="es-ES" w:bidi="es-ES"/>
      </w:rPr>
    </w:lvl>
    <w:lvl w:ilvl="5">
      <w:numFmt w:val="bullet"/>
      <w:lvlText w:val="•"/>
      <w:lvlJc w:val="left"/>
      <w:pPr>
        <w:ind w:left="405" w:hanging="400"/>
      </w:pPr>
      <w:rPr>
        <w:rFonts w:hint="default"/>
        <w:lang w:val="es-ES" w:eastAsia="es-ES" w:bidi="es-ES"/>
      </w:rPr>
    </w:lvl>
    <w:lvl w:ilvl="6">
      <w:numFmt w:val="bullet"/>
      <w:lvlText w:val="•"/>
      <w:lvlJc w:val="left"/>
      <w:pPr>
        <w:ind w:left="297" w:hanging="400"/>
      </w:pPr>
      <w:rPr>
        <w:rFonts w:hint="default"/>
        <w:lang w:val="es-ES" w:eastAsia="es-ES" w:bidi="es-ES"/>
      </w:rPr>
    </w:lvl>
    <w:lvl w:ilvl="7">
      <w:numFmt w:val="bullet"/>
      <w:lvlText w:val="•"/>
      <w:lvlJc w:val="left"/>
      <w:pPr>
        <w:ind w:left="188" w:hanging="400"/>
      </w:pPr>
      <w:rPr>
        <w:rFonts w:hint="default"/>
        <w:lang w:val="es-ES" w:eastAsia="es-ES" w:bidi="es-ES"/>
      </w:rPr>
    </w:lvl>
    <w:lvl w:ilvl="8">
      <w:numFmt w:val="bullet"/>
      <w:lvlText w:val="•"/>
      <w:lvlJc w:val="left"/>
      <w:pPr>
        <w:ind w:left="80" w:hanging="400"/>
      </w:pPr>
      <w:rPr>
        <w:rFonts w:hint="default"/>
        <w:lang w:val="es-ES" w:eastAsia="es-ES" w:bidi="es-ES"/>
      </w:rPr>
    </w:lvl>
  </w:abstractNum>
  <w:abstractNum w:abstractNumId="4" w15:restartNumberingAfterBreak="0">
    <w:nsid w:val="0D4546C3"/>
    <w:multiLevelType w:val="hybridMultilevel"/>
    <w:tmpl w:val="ECBC887E"/>
    <w:lvl w:ilvl="0" w:tplc="BF8E26D2">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1" w:tplc="B1E2AFCC">
      <w:numFmt w:val="bullet"/>
      <w:lvlText w:val="•"/>
      <w:lvlJc w:val="left"/>
      <w:pPr>
        <w:ind w:left="1264" w:hanging="400"/>
      </w:pPr>
      <w:rPr>
        <w:rFonts w:hint="default"/>
        <w:lang w:val="es-ES" w:eastAsia="es-ES" w:bidi="es-ES"/>
      </w:rPr>
    </w:lvl>
    <w:lvl w:ilvl="2" w:tplc="A476CB98">
      <w:numFmt w:val="bullet"/>
      <w:lvlText w:val="•"/>
      <w:lvlJc w:val="left"/>
      <w:pPr>
        <w:ind w:left="1689" w:hanging="400"/>
      </w:pPr>
      <w:rPr>
        <w:rFonts w:hint="default"/>
        <w:lang w:val="es-ES" w:eastAsia="es-ES" w:bidi="es-ES"/>
      </w:rPr>
    </w:lvl>
    <w:lvl w:ilvl="3" w:tplc="34EA8338">
      <w:numFmt w:val="bullet"/>
      <w:lvlText w:val="•"/>
      <w:lvlJc w:val="left"/>
      <w:pPr>
        <w:ind w:left="2114" w:hanging="400"/>
      </w:pPr>
      <w:rPr>
        <w:rFonts w:hint="default"/>
        <w:lang w:val="es-ES" w:eastAsia="es-ES" w:bidi="es-ES"/>
      </w:rPr>
    </w:lvl>
    <w:lvl w:ilvl="4" w:tplc="649E75C0">
      <w:numFmt w:val="bullet"/>
      <w:lvlText w:val="•"/>
      <w:lvlJc w:val="left"/>
      <w:pPr>
        <w:ind w:left="2538" w:hanging="400"/>
      </w:pPr>
      <w:rPr>
        <w:rFonts w:hint="default"/>
        <w:lang w:val="es-ES" w:eastAsia="es-ES" w:bidi="es-ES"/>
      </w:rPr>
    </w:lvl>
    <w:lvl w:ilvl="5" w:tplc="D8609342">
      <w:numFmt w:val="bullet"/>
      <w:lvlText w:val="•"/>
      <w:lvlJc w:val="left"/>
      <w:pPr>
        <w:ind w:left="2963" w:hanging="400"/>
      </w:pPr>
      <w:rPr>
        <w:rFonts w:hint="default"/>
        <w:lang w:val="es-ES" w:eastAsia="es-ES" w:bidi="es-ES"/>
      </w:rPr>
    </w:lvl>
    <w:lvl w:ilvl="6" w:tplc="B2B446BE">
      <w:numFmt w:val="bullet"/>
      <w:lvlText w:val="•"/>
      <w:lvlJc w:val="left"/>
      <w:pPr>
        <w:ind w:left="3388" w:hanging="400"/>
      </w:pPr>
      <w:rPr>
        <w:rFonts w:hint="default"/>
        <w:lang w:val="es-ES" w:eastAsia="es-ES" w:bidi="es-ES"/>
      </w:rPr>
    </w:lvl>
    <w:lvl w:ilvl="7" w:tplc="740AFD56">
      <w:numFmt w:val="bullet"/>
      <w:lvlText w:val="•"/>
      <w:lvlJc w:val="left"/>
      <w:pPr>
        <w:ind w:left="3812" w:hanging="400"/>
      </w:pPr>
      <w:rPr>
        <w:rFonts w:hint="default"/>
        <w:lang w:val="es-ES" w:eastAsia="es-ES" w:bidi="es-ES"/>
      </w:rPr>
    </w:lvl>
    <w:lvl w:ilvl="8" w:tplc="6AFCB6F6">
      <w:numFmt w:val="bullet"/>
      <w:lvlText w:val="•"/>
      <w:lvlJc w:val="left"/>
      <w:pPr>
        <w:ind w:left="4237" w:hanging="400"/>
      </w:pPr>
      <w:rPr>
        <w:rFonts w:hint="default"/>
        <w:lang w:val="es-ES" w:eastAsia="es-ES" w:bidi="es-ES"/>
      </w:rPr>
    </w:lvl>
  </w:abstractNum>
  <w:abstractNum w:abstractNumId="5" w15:restartNumberingAfterBreak="0">
    <w:nsid w:val="100A01F9"/>
    <w:multiLevelType w:val="hybridMultilevel"/>
    <w:tmpl w:val="C826DBBC"/>
    <w:lvl w:ilvl="0" w:tplc="4C2815B8">
      <w:start w:val="1"/>
      <w:numFmt w:val="lowerLetter"/>
      <w:lvlText w:val="%1)"/>
      <w:lvlJc w:val="left"/>
      <w:pPr>
        <w:ind w:left="56" w:hanging="220"/>
        <w:jc w:val="left"/>
      </w:pPr>
      <w:rPr>
        <w:rFonts w:ascii="Times New Roman" w:eastAsia="Times New Roman" w:hAnsi="Times New Roman" w:cs="Times New Roman" w:hint="default"/>
        <w:w w:val="99"/>
        <w:sz w:val="20"/>
        <w:szCs w:val="20"/>
        <w:lang w:val="es-ES" w:eastAsia="es-ES" w:bidi="es-ES"/>
      </w:rPr>
    </w:lvl>
    <w:lvl w:ilvl="1" w:tplc="77184A4C">
      <w:numFmt w:val="bullet"/>
      <w:lvlText w:val="•"/>
      <w:lvlJc w:val="left"/>
      <w:pPr>
        <w:ind w:left="384" w:hanging="220"/>
      </w:pPr>
      <w:rPr>
        <w:rFonts w:hint="default"/>
        <w:lang w:val="es-ES" w:eastAsia="es-ES" w:bidi="es-ES"/>
      </w:rPr>
    </w:lvl>
    <w:lvl w:ilvl="2" w:tplc="9D40470A">
      <w:numFmt w:val="bullet"/>
      <w:lvlText w:val="•"/>
      <w:lvlJc w:val="left"/>
      <w:pPr>
        <w:ind w:left="708" w:hanging="220"/>
      </w:pPr>
      <w:rPr>
        <w:rFonts w:hint="default"/>
        <w:lang w:val="es-ES" w:eastAsia="es-ES" w:bidi="es-ES"/>
      </w:rPr>
    </w:lvl>
    <w:lvl w:ilvl="3" w:tplc="E10074D0">
      <w:numFmt w:val="bullet"/>
      <w:lvlText w:val="•"/>
      <w:lvlJc w:val="left"/>
      <w:pPr>
        <w:ind w:left="1032" w:hanging="220"/>
      </w:pPr>
      <w:rPr>
        <w:rFonts w:hint="default"/>
        <w:lang w:val="es-ES" w:eastAsia="es-ES" w:bidi="es-ES"/>
      </w:rPr>
    </w:lvl>
    <w:lvl w:ilvl="4" w:tplc="B41E951C">
      <w:numFmt w:val="bullet"/>
      <w:lvlText w:val="•"/>
      <w:lvlJc w:val="left"/>
      <w:pPr>
        <w:ind w:left="1356" w:hanging="220"/>
      </w:pPr>
      <w:rPr>
        <w:rFonts w:hint="default"/>
        <w:lang w:val="es-ES" w:eastAsia="es-ES" w:bidi="es-ES"/>
      </w:rPr>
    </w:lvl>
    <w:lvl w:ilvl="5" w:tplc="ED36B96C">
      <w:numFmt w:val="bullet"/>
      <w:lvlText w:val="•"/>
      <w:lvlJc w:val="left"/>
      <w:pPr>
        <w:ind w:left="1680" w:hanging="220"/>
      </w:pPr>
      <w:rPr>
        <w:rFonts w:hint="default"/>
        <w:lang w:val="es-ES" w:eastAsia="es-ES" w:bidi="es-ES"/>
      </w:rPr>
    </w:lvl>
    <w:lvl w:ilvl="6" w:tplc="D9425D48">
      <w:numFmt w:val="bullet"/>
      <w:lvlText w:val="•"/>
      <w:lvlJc w:val="left"/>
      <w:pPr>
        <w:ind w:left="2004" w:hanging="220"/>
      </w:pPr>
      <w:rPr>
        <w:rFonts w:hint="default"/>
        <w:lang w:val="es-ES" w:eastAsia="es-ES" w:bidi="es-ES"/>
      </w:rPr>
    </w:lvl>
    <w:lvl w:ilvl="7" w:tplc="ED1E1DEC">
      <w:numFmt w:val="bullet"/>
      <w:lvlText w:val="•"/>
      <w:lvlJc w:val="left"/>
      <w:pPr>
        <w:ind w:left="2328" w:hanging="220"/>
      </w:pPr>
      <w:rPr>
        <w:rFonts w:hint="default"/>
        <w:lang w:val="es-ES" w:eastAsia="es-ES" w:bidi="es-ES"/>
      </w:rPr>
    </w:lvl>
    <w:lvl w:ilvl="8" w:tplc="42ECB052">
      <w:numFmt w:val="bullet"/>
      <w:lvlText w:val="•"/>
      <w:lvlJc w:val="left"/>
      <w:pPr>
        <w:ind w:left="2652" w:hanging="220"/>
      </w:pPr>
      <w:rPr>
        <w:rFonts w:hint="default"/>
        <w:lang w:val="es-ES" w:eastAsia="es-ES" w:bidi="es-ES"/>
      </w:rPr>
    </w:lvl>
  </w:abstractNum>
  <w:abstractNum w:abstractNumId="6" w15:restartNumberingAfterBreak="0">
    <w:nsid w:val="102C0860"/>
    <w:multiLevelType w:val="hybridMultilevel"/>
    <w:tmpl w:val="AB009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DC57C1"/>
    <w:multiLevelType w:val="hybridMultilevel"/>
    <w:tmpl w:val="A0E61D50"/>
    <w:lvl w:ilvl="0" w:tplc="CF86E1D0">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1" w:tplc="AC4A0EA2">
      <w:numFmt w:val="bullet"/>
      <w:lvlText w:val="•"/>
      <w:lvlJc w:val="left"/>
      <w:pPr>
        <w:ind w:left="1252" w:hanging="400"/>
      </w:pPr>
      <w:rPr>
        <w:rFonts w:hint="default"/>
        <w:lang w:val="es-ES" w:eastAsia="es-ES" w:bidi="es-ES"/>
      </w:rPr>
    </w:lvl>
    <w:lvl w:ilvl="2" w:tplc="B5B8F02A">
      <w:numFmt w:val="bullet"/>
      <w:lvlText w:val="•"/>
      <w:lvlJc w:val="left"/>
      <w:pPr>
        <w:ind w:left="1665" w:hanging="400"/>
      </w:pPr>
      <w:rPr>
        <w:rFonts w:hint="default"/>
        <w:lang w:val="es-ES" w:eastAsia="es-ES" w:bidi="es-ES"/>
      </w:rPr>
    </w:lvl>
    <w:lvl w:ilvl="3" w:tplc="FEC69728">
      <w:numFmt w:val="bullet"/>
      <w:lvlText w:val="•"/>
      <w:lvlJc w:val="left"/>
      <w:pPr>
        <w:ind w:left="2078" w:hanging="400"/>
      </w:pPr>
      <w:rPr>
        <w:rFonts w:hint="default"/>
        <w:lang w:val="es-ES" w:eastAsia="es-ES" w:bidi="es-ES"/>
      </w:rPr>
    </w:lvl>
    <w:lvl w:ilvl="4" w:tplc="77462618">
      <w:numFmt w:val="bullet"/>
      <w:lvlText w:val="•"/>
      <w:lvlJc w:val="left"/>
      <w:pPr>
        <w:ind w:left="2490" w:hanging="400"/>
      </w:pPr>
      <w:rPr>
        <w:rFonts w:hint="default"/>
        <w:lang w:val="es-ES" w:eastAsia="es-ES" w:bidi="es-ES"/>
      </w:rPr>
    </w:lvl>
    <w:lvl w:ilvl="5" w:tplc="DAE297C0">
      <w:numFmt w:val="bullet"/>
      <w:lvlText w:val="•"/>
      <w:lvlJc w:val="left"/>
      <w:pPr>
        <w:ind w:left="2903" w:hanging="400"/>
      </w:pPr>
      <w:rPr>
        <w:rFonts w:hint="default"/>
        <w:lang w:val="es-ES" w:eastAsia="es-ES" w:bidi="es-ES"/>
      </w:rPr>
    </w:lvl>
    <w:lvl w:ilvl="6" w:tplc="0E367AFE">
      <w:numFmt w:val="bullet"/>
      <w:lvlText w:val="•"/>
      <w:lvlJc w:val="left"/>
      <w:pPr>
        <w:ind w:left="3316" w:hanging="400"/>
      </w:pPr>
      <w:rPr>
        <w:rFonts w:hint="default"/>
        <w:lang w:val="es-ES" w:eastAsia="es-ES" w:bidi="es-ES"/>
      </w:rPr>
    </w:lvl>
    <w:lvl w:ilvl="7" w:tplc="CD0846C0">
      <w:numFmt w:val="bullet"/>
      <w:lvlText w:val="•"/>
      <w:lvlJc w:val="left"/>
      <w:pPr>
        <w:ind w:left="3729" w:hanging="400"/>
      </w:pPr>
      <w:rPr>
        <w:rFonts w:hint="default"/>
        <w:lang w:val="es-ES" w:eastAsia="es-ES" w:bidi="es-ES"/>
      </w:rPr>
    </w:lvl>
    <w:lvl w:ilvl="8" w:tplc="ADFC0BD8">
      <w:numFmt w:val="bullet"/>
      <w:lvlText w:val="•"/>
      <w:lvlJc w:val="left"/>
      <w:pPr>
        <w:ind w:left="4141" w:hanging="400"/>
      </w:pPr>
      <w:rPr>
        <w:rFonts w:hint="default"/>
        <w:lang w:val="es-ES" w:eastAsia="es-ES" w:bidi="es-ES"/>
      </w:rPr>
    </w:lvl>
  </w:abstractNum>
  <w:abstractNum w:abstractNumId="8" w15:restartNumberingAfterBreak="0">
    <w:nsid w:val="19977169"/>
    <w:multiLevelType w:val="hybridMultilevel"/>
    <w:tmpl w:val="33940CFA"/>
    <w:lvl w:ilvl="0" w:tplc="C7C0B5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4308AA"/>
    <w:multiLevelType w:val="hybridMultilevel"/>
    <w:tmpl w:val="29A86CAA"/>
    <w:lvl w:ilvl="0" w:tplc="C218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A5027"/>
    <w:multiLevelType w:val="multilevel"/>
    <w:tmpl w:val="F9444888"/>
    <w:lvl w:ilvl="0">
      <w:start w:val="1"/>
      <w:numFmt w:val="decimal"/>
      <w:lvlText w:val="%1."/>
      <w:lvlJc w:val="left"/>
      <w:pPr>
        <w:ind w:left="833" w:hanging="400"/>
        <w:jc w:val="left"/>
      </w:pPr>
      <w:rPr>
        <w:rFonts w:ascii="Times New Roman" w:eastAsia="Times New Roman" w:hAnsi="Times New Roman" w:cs="Times New Roman" w:hint="default"/>
        <w:color w:val="231F20"/>
        <w:w w:val="100"/>
        <w:sz w:val="23"/>
        <w:szCs w:val="23"/>
        <w:lang w:val="es-ES" w:eastAsia="es-ES" w:bidi="es-ES"/>
      </w:rPr>
    </w:lvl>
    <w:lvl w:ilvl="1">
      <w:start w:val="1"/>
      <w:numFmt w:val="decimal"/>
      <w:lvlText w:val="%1.%2."/>
      <w:lvlJc w:val="left"/>
      <w:pPr>
        <w:ind w:left="833" w:hanging="400"/>
        <w:jc w:val="left"/>
      </w:pPr>
      <w:rPr>
        <w:rFonts w:ascii="Times New Roman" w:eastAsia="Times New Roman" w:hAnsi="Times New Roman" w:cs="Times New Roman" w:hint="default"/>
        <w:color w:val="231F20"/>
        <w:w w:val="100"/>
        <w:sz w:val="23"/>
        <w:szCs w:val="23"/>
        <w:lang w:val="es-ES" w:eastAsia="es-ES" w:bidi="es-ES"/>
      </w:rPr>
    </w:lvl>
    <w:lvl w:ilvl="2">
      <w:numFmt w:val="bullet"/>
      <w:lvlText w:val="•"/>
      <w:lvlJc w:val="left"/>
      <w:pPr>
        <w:ind w:left="1665" w:hanging="400"/>
      </w:pPr>
      <w:rPr>
        <w:rFonts w:hint="default"/>
        <w:lang w:val="es-ES" w:eastAsia="es-ES" w:bidi="es-ES"/>
      </w:rPr>
    </w:lvl>
    <w:lvl w:ilvl="3">
      <w:numFmt w:val="bullet"/>
      <w:lvlText w:val="•"/>
      <w:lvlJc w:val="left"/>
      <w:pPr>
        <w:ind w:left="2077" w:hanging="400"/>
      </w:pPr>
      <w:rPr>
        <w:rFonts w:hint="default"/>
        <w:lang w:val="es-ES" w:eastAsia="es-ES" w:bidi="es-ES"/>
      </w:rPr>
    </w:lvl>
    <w:lvl w:ilvl="4">
      <w:numFmt w:val="bullet"/>
      <w:lvlText w:val="•"/>
      <w:lvlJc w:val="left"/>
      <w:pPr>
        <w:ind w:left="2490" w:hanging="400"/>
      </w:pPr>
      <w:rPr>
        <w:rFonts w:hint="default"/>
        <w:lang w:val="es-ES" w:eastAsia="es-ES" w:bidi="es-ES"/>
      </w:rPr>
    </w:lvl>
    <w:lvl w:ilvl="5">
      <w:numFmt w:val="bullet"/>
      <w:lvlText w:val="•"/>
      <w:lvlJc w:val="left"/>
      <w:pPr>
        <w:ind w:left="2902" w:hanging="400"/>
      </w:pPr>
      <w:rPr>
        <w:rFonts w:hint="default"/>
        <w:lang w:val="es-ES" w:eastAsia="es-ES" w:bidi="es-ES"/>
      </w:rPr>
    </w:lvl>
    <w:lvl w:ilvl="6">
      <w:numFmt w:val="bullet"/>
      <w:lvlText w:val="•"/>
      <w:lvlJc w:val="left"/>
      <w:pPr>
        <w:ind w:left="3315" w:hanging="400"/>
      </w:pPr>
      <w:rPr>
        <w:rFonts w:hint="default"/>
        <w:lang w:val="es-ES" w:eastAsia="es-ES" w:bidi="es-ES"/>
      </w:rPr>
    </w:lvl>
    <w:lvl w:ilvl="7">
      <w:numFmt w:val="bullet"/>
      <w:lvlText w:val="•"/>
      <w:lvlJc w:val="left"/>
      <w:pPr>
        <w:ind w:left="3727" w:hanging="400"/>
      </w:pPr>
      <w:rPr>
        <w:rFonts w:hint="default"/>
        <w:lang w:val="es-ES" w:eastAsia="es-ES" w:bidi="es-ES"/>
      </w:rPr>
    </w:lvl>
    <w:lvl w:ilvl="8">
      <w:numFmt w:val="bullet"/>
      <w:lvlText w:val="•"/>
      <w:lvlJc w:val="left"/>
      <w:pPr>
        <w:ind w:left="4140" w:hanging="400"/>
      </w:pPr>
      <w:rPr>
        <w:rFonts w:hint="default"/>
        <w:lang w:val="es-ES" w:eastAsia="es-ES" w:bidi="es-ES"/>
      </w:rPr>
    </w:lvl>
  </w:abstractNum>
  <w:abstractNum w:abstractNumId="11" w15:restartNumberingAfterBreak="0">
    <w:nsid w:val="289E7BC6"/>
    <w:multiLevelType w:val="multilevel"/>
    <w:tmpl w:val="F796D8E4"/>
    <w:lvl w:ilvl="0">
      <w:start w:val="5"/>
      <w:numFmt w:val="decimal"/>
      <w:lvlText w:val="%1"/>
      <w:lvlJc w:val="left"/>
      <w:pPr>
        <w:ind w:left="553" w:hanging="401"/>
        <w:jc w:val="left"/>
      </w:pPr>
      <w:rPr>
        <w:rFonts w:hint="default"/>
        <w:lang w:val="es-ES" w:eastAsia="es-ES" w:bidi="es-ES"/>
      </w:rPr>
    </w:lvl>
    <w:lvl w:ilvl="1">
      <w:start w:val="3"/>
      <w:numFmt w:val="decimal"/>
      <w:lvlText w:val="%1.%2."/>
      <w:lvlJc w:val="left"/>
      <w:pPr>
        <w:ind w:left="553" w:hanging="401"/>
        <w:jc w:val="left"/>
      </w:pPr>
      <w:rPr>
        <w:rFonts w:ascii="Times New Roman" w:eastAsia="Times New Roman" w:hAnsi="Times New Roman" w:cs="Times New Roman" w:hint="default"/>
        <w:color w:val="231F20"/>
        <w:w w:val="100"/>
        <w:sz w:val="24"/>
        <w:szCs w:val="24"/>
        <w:lang w:val="es-ES" w:eastAsia="es-ES" w:bidi="es-ES"/>
      </w:rPr>
    </w:lvl>
    <w:lvl w:ilvl="2">
      <w:numFmt w:val="bullet"/>
      <w:lvlText w:val="•"/>
      <w:lvlJc w:val="left"/>
      <w:pPr>
        <w:ind w:left="1409" w:hanging="401"/>
      </w:pPr>
      <w:rPr>
        <w:rFonts w:hint="default"/>
        <w:lang w:val="es-ES" w:eastAsia="es-ES" w:bidi="es-ES"/>
      </w:rPr>
    </w:lvl>
    <w:lvl w:ilvl="3">
      <w:numFmt w:val="bullet"/>
      <w:lvlText w:val="•"/>
      <w:lvlJc w:val="left"/>
      <w:pPr>
        <w:ind w:left="1833" w:hanging="401"/>
      </w:pPr>
      <w:rPr>
        <w:rFonts w:hint="default"/>
        <w:lang w:val="es-ES" w:eastAsia="es-ES" w:bidi="es-ES"/>
      </w:rPr>
    </w:lvl>
    <w:lvl w:ilvl="4">
      <w:numFmt w:val="bullet"/>
      <w:lvlText w:val="•"/>
      <w:lvlJc w:val="left"/>
      <w:pPr>
        <w:ind w:left="2258" w:hanging="401"/>
      </w:pPr>
      <w:rPr>
        <w:rFonts w:hint="default"/>
        <w:lang w:val="es-ES" w:eastAsia="es-ES" w:bidi="es-ES"/>
      </w:rPr>
    </w:lvl>
    <w:lvl w:ilvl="5">
      <w:numFmt w:val="bullet"/>
      <w:lvlText w:val="•"/>
      <w:lvlJc w:val="left"/>
      <w:pPr>
        <w:ind w:left="2683" w:hanging="401"/>
      </w:pPr>
      <w:rPr>
        <w:rFonts w:hint="default"/>
        <w:lang w:val="es-ES" w:eastAsia="es-ES" w:bidi="es-ES"/>
      </w:rPr>
    </w:lvl>
    <w:lvl w:ilvl="6">
      <w:numFmt w:val="bullet"/>
      <w:lvlText w:val="•"/>
      <w:lvlJc w:val="left"/>
      <w:pPr>
        <w:ind w:left="3107" w:hanging="401"/>
      </w:pPr>
      <w:rPr>
        <w:rFonts w:hint="default"/>
        <w:lang w:val="es-ES" w:eastAsia="es-ES" w:bidi="es-ES"/>
      </w:rPr>
    </w:lvl>
    <w:lvl w:ilvl="7">
      <w:numFmt w:val="bullet"/>
      <w:lvlText w:val="•"/>
      <w:lvlJc w:val="left"/>
      <w:pPr>
        <w:ind w:left="3532" w:hanging="401"/>
      </w:pPr>
      <w:rPr>
        <w:rFonts w:hint="default"/>
        <w:lang w:val="es-ES" w:eastAsia="es-ES" w:bidi="es-ES"/>
      </w:rPr>
    </w:lvl>
    <w:lvl w:ilvl="8">
      <w:numFmt w:val="bullet"/>
      <w:lvlText w:val="•"/>
      <w:lvlJc w:val="left"/>
      <w:pPr>
        <w:ind w:left="3957" w:hanging="401"/>
      </w:pPr>
      <w:rPr>
        <w:rFonts w:hint="default"/>
        <w:lang w:val="es-ES" w:eastAsia="es-ES" w:bidi="es-ES"/>
      </w:rPr>
    </w:lvl>
  </w:abstractNum>
  <w:abstractNum w:abstractNumId="12" w15:restartNumberingAfterBreak="0">
    <w:nsid w:val="2AD55BA4"/>
    <w:multiLevelType w:val="hybridMultilevel"/>
    <w:tmpl w:val="9874125E"/>
    <w:lvl w:ilvl="0" w:tplc="4C04A6BA">
      <w:start w:val="1"/>
      <w:numFmt w:val="decimal"/>
      <w:lvlText w:val="%1."/>
      <w:lvlJc w:val="left"/>
      <w:pPr>
        <w:ind w:left="838" w:hanging="405"/>
      </w:pPr>
      <w:rPr>
        <w:rFonts w:hint="default"/>
      </w:r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13" w15:restartNumberingAfterBreak="0">
    <w:nsid w:val="2CBD7FE4"/>
    <w:multiLevelType w:val="hybridMultilevel"/>
    <w:tmpl w:val="2984F16A"/>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C38ED"/>
    <w:multiLevelType w:val="hybridMultilevel"/>
    <w:tmpl w:val="38C680DE"/>
    <w:lvl w:ilvl="0" w:tplc="32D44B9C">
      <w:start w:val="4"/>
      <w:numFmt w:val="lowerLetter"/>
      <w:lvlText w:val="%1)"/>
      <w:lvlJc w:val="left"/>
      <w:pPr>
        <w:ind w:left="833" w:hanging="400"/>
        <w:jc w:val="left"/>
      </w:pPr>
      <w:rPr>
        <w:rFonts w:ascii="Times New Roman" w:eastAsia="Times New Roman" w:hAnsi="Times New Roman" w:cs="Times New Roman" w:hint="default"/>
        <w:color w:val="231F20"/>
        <w:spacing w:val="-28"/>
        <w:w w:val="99"/>
        <w:sz w:val="23"/>
        <w:szCs w:val="23"/>
        <w:lang w:val="es-ES" w:eastAsia="es-ES" w:bidi="es-ES"/>
      </w:rPr>
    </w:lvl>
    <w:lvl w:ilvl="1" w:tplc="1CEE3578">
      <w:numFmt w:val="bullet"/>
      <w:lvlText w:val="•"/>
      <w:lvlJc w:val="left"/>
      <w:pPr>
        <w:ind w:left="1257" w:hanging="400"/>
      </w:pPr>
      <w:rPr>
        <w:rFonts w:hint="default"/>
        <w:lang w:val="es-ES" w:eastAsia="es-ES" w:bidi="es-ES"/>
      </w:rPr>
    </w:lvl>
    <w:lvl w:ilvl="2" w:tplc="95648E90">
      <w:numFmt w:val="bullet"/>
      <w:lvlText w:val="•"/>
      <w:lvlJc w:val="left"/>
      <w:pPr>
        <w:ind w:left="1674" w:hanging="400"/>
      </w:pPr>
      <w:rPr>
        <w:rFonts w:hint="default"/>
        <w:lang w:val="es-ES" w:eastAsia="es-ES" w:bidi="es-ES"/>
      </w:rPr>
    </w:lvl>
    <w:lvl w:ilvl="3" w:tplc="AE14A94A">
      <w:numFmt w:val="bullet"/>
      <w:lvlText w:val="•"/>
      <w:lvlJc w:val="left"/>
      <w:pPr>
        <w:ind w:left="2092" w:hanging="400"/>
      </w:pPr>
      <w:rPr>
        <w:rFonts w:hint="default"/>
        <w:lang w:val="es-ES" w:eastAsia="es-ES" w:bidi="es-ES"/>
      </w:rPr>
    </w:lvl>
    <w:lvl w:ilvl="4" w:tplc="E9A064DA">
      <w:numFmt w:val="bullet"/>
      <w:lvlText w:val="•"/>
      <w:lvlJc w:val="left"/>
      <w:pPr>
        <w:ind w:left="2509" w:hanging="400"/>
      </w:pPr>
      <w:rPr>
        <w:rFonts w:hint="default"/>
        <w:lang w:val="es-ES" w:eastAsia="es-ES" w:bidi="es-ES"/>
      </w:rPr>
    </w:lvl>
    <w:lvl w:ilvl="5" w:tplc="92C06A92">
      <w:numFmt w:val="bullet"/>
      <w:lvlText w:val="•"/>
      <w:lvlJc w:val="left"/>
      <w:pPr>
        <w:ind w:left="2926" w:hanging="400"/>
      </w:pPr>
      <w:rPr>
        <w:rFonts w:hint="default"/>
        <w:lang w:val="es-ES" w:eastAsia="es-ES" w:bidi="es-ES"/>
      </w:rPr>
    </w:lvl>
    <w:lvl w:ilvl="6" w:tplc="E52C4B7A">
      <w:numFmt w:val="bullet"/>
      <w:lvlText w:val="•"/>
      <w:lvlJc w:val="left"/>
      <w:pPr>
        <w:ind w:left="3343" w:hanging="400"/>
      </w:pPr>
      <w:rPr>
        <w:rFonts w:hint="default"/>
        <w:lang w:val="es-ES" w:eastAsia="es-ES" w:bidi="es-ES"/>
      </w:rPr>
    </w:lvl>
    <w:lvl w:ilvl="7" w:tplc="1DEC6C38">
      <w:numFmt w:val="bullet"/>
      <w:lvlText w:val="•"/>
      <w:lvlJc w:val="left"/>
      <w:pPr>
        <w:ind w:left="3761" w:hanging="400"/>
      </w:pPr>
      <w:rPr>
        <w:rFonts w:hint="default"/>
        <w:lang w:val="es-ES" w:eastAsia="es-ES" w:bidi="es-ES"/>
      </w:rPr>
    </w:lvl>
    <w:lvl w:ilvl="8" w:tplc="16588782">
      <w:numFmt w:val="bullet"/>
      <w:lvlText w:val="•"/>
      <w:lvlJc w:val="left"/>
      <w:pPr>
        <w:ind w:left="4178" w:hanging="400"/>
      </w:pPr>
      <w:rPr>
        <w:rFonts w:hint="default"/>
        <w:lang w:val="es-ES" w:eastAsia="es-ES" w:bidi="es-ES"/>
      </w:rPr>
    </w:lvl>
  </w:abstractNum>
  <w:abstractNum w:abstractNumId="15" w15:restartNumberingAfterBreak="0">
    <w:nsid w:val="2E6D3D9F"/>
    <w:multiLevelType w:val="hybridMultilevel"/>
    <w:tmpl w:val="8B329132"/>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C10B8"/>
    <w:multiLevelType w:val="hybridMultilevel"/>
    <w:tmpl w:val="2C0E923A"/>
    <w:lvl w:ilvl="0" w:tplc="42ECE7D8">
      <w:start w:val="1"/>
      <w:numFmt w:val="lowerLetter"/>
      <w:lvlText w:val="%1)"/>
      <w:lvlJc w:val="left"/>
      <w:pPr>
        <w:ind w:left="56" w:hanging="220"/>
        <w:jc w:val="left"/>
      </w:pPr>
      <w:rPr>
        <w:rFonts w:ascii="Times New Roman" w:eastAsia="Times New Roman" w:hAnsi="Times New Roman" w:cs="Times New Roman" w:hint="default"/>
        <w:w w:val="99"/>
        <w:sz w:val="20"/>
        <w:szCs w:val="20"/>
        <w:lang w:val="es-ES" w:eastAsia="es-ES" w:bidi="es-ES"/>
      </w:rPr>
    </w:lvl>
    <w:lvl w:ilvl="1" w:tplc="0796873C">
      <w:numFmt w:val="bullet"/>
      <w:lvlText w:val="•"/>
      <w:lvlJc w:val="left"/>
      <w:pPr>
        <w:ind w:left="384" w:hanging="220"/>
      </w:pPr>
      <w:rPr>
        <w:rFonts w:hint="default"/>
        <w:lang w:val="es-ES" w:eastAsia="es-ES" w:bidi="es-ES"/>
      </w:rPr>
    </w:lvl>
    <w:lvl w:ilvl="2" w:tplc="91FCEC3C">
      <w:numFmt w:val="bullet"/>
      <w:lvlText w:val="•"/>
      <w:lvlJc w:val="left"/>
      <w:pPr>
        <w:ind w:left="708" w:hanging="220"/>
      </w:pPr>
      <w:rPr>
        <w:rFonts w:hint="default"/>
        <w:lang w:val="es-ES" w:eastAsia="es-ES" w:bidi="es-ES"/>
      </w:rPr>
    </w:lvl>
    <w:lvl w:ilvl="3" w:tplc="39B8A536">
      <w:numFmt w:val="bullet"/>
      <w:lvlText w:val="•"/>
      <w:lvlJc w:val="left"/>
      <w:pPr>
        <w:ind w:left="1032" w:hanging="220"/>
      </w:pPr>
      <w:rPr>
        <w:rFonts w:hint="default"/>
        <w:lang w:val="es-ES" w:eastAsia="es-ES" w:bidi="es-ES"/>
      </w:rPr>
    </w:lvl>
    <w:lvl w:ilvl="4" w:tplc="AC105554">
      <w:numFmt w:val="bullet"/>
      <w:lvlText w:val="•"/>
      <w:lvlJc w:val="left"/>
      <w:pPr>
        <w:ind w:left="1356" w:hanging="220"/>
      </w:pPr>
      <w:rPr>
        <w:rFonts w:hint="default"/>
        <w:lang w:val="es-ES" w:eastAsia="es-ES" w:bidi="es-ES"/>
      </w:rPr>
    </w:lvl>
    <w:lvl w:ilvl="5" w:tplc="1354DBEE">
      <w:numFmt w:val="bullet"/>
      <w:lvlText w:val="•"/>
      <w:lvlJc w:val="left"/>
      <w:pPr>
        <w:ind w:left="1680" w:hanging="220"/>
      </w:pPr>
      <w:rPr>
        <w:rFonts w:hint="default"/>
        <w:lang w:val="es-ES" w:eastAsia="es-ES" w:bidi="es-ES"/>
      </w:rPr>
    </w:lvl>
    <w:lvl w:ilvl="6" w:tplc="FD52CBB4">
      <w:numFmt w:val="bullet"/>
      <w:lvlText w:val="•"/>
      <w:lvlJc w:val="left"/>
      <w:pPr>
        <w:ind w:left="2004" w:hanging="220"/>
      </w:pPr>
      <w:rPr>
        <w:rFonts w:hint="default"/>
        <w:lang w:val="es-ES" w:eastAsia="es-ES" w:bidi="es-ES"/>
      </w:rPr>
    </w:lvl>
    <w:lvl w:ilvl="7" w:tplc="2E361A0A">
      <w:numFmt w:val="bullet"/>
      <w:lvlText w:val="•"/>
      <w:lvlJc w:val="left"/>
      <w:pPr>
        <w:ind w:left="2328" w:hanging="220"/>
      </w:pPr>
      <w:rPr>
        <w:rFonts w:hint="default"/>
        <w:lang w:val="es-ES" w:eastAsia="es-ES" w:bidi="es-ES"/>
      </w:rPr>
    </w:lvl>
    <w:lvl w:ilvl="8" w:tplc="6C3C986C">
      <w:numFmt w:val="bullet"/>
      <w:lvlText w:val="•"/>
      <w:lvlJc w:val="left"/>
      <w:pPr>
        <w:ind w:left="2652" w:hanging="220"/>
      </w:pPr>
      <w:rPr>
        <w:rFonts w:hint="default"/>
        <w:lang w:val="es-ES" w:eastAsia="es-ES" w:bidi="es-ES"/>
      </w:rPr>
    </w:lvl>
  </w:abstractNum>
  <w:abstractNum w:abstractNumId="17" w15:restartNumberingAfterBreak="0">
    <w:nsid w:val="380F57F2"/>
    <w:multiLevelType w:val="hybridMultilevel"/>
    <w:tmpl w:val="6DF27122"/>
    <w:lvl w:ilvl="0" w:tplc="BD5269C4">
      <w:start w:val="1"/>
      <w:numFmt w:val="lowerLetter"/>
      <w:lvlText w:val="%1)"/>
      <w:lvlJc w:val="left"/>
      <w:pPr>
        <w:ind w:left="56" w:hanging="249"/>
        <w:jc w:val="left"/>
      </w:pPr>
      <w:rPr>
        <w:rFonts w:ascii="Times New Roman" w:eastAsia="Times New Roman" w:hAnsi="Times New Roman" w:cs="Times New Roman" w:hint="default"/>
        <w:spacing w:val="-7"/>
        <w:w w:val="99"/>
        <w:sz w:val="20"/>
        <w:szCs w:val="20"/>
        <w:lang w:val="es-ES" w:eastAsia="es-ES" w:bidi="es-ES"/>
      </w:rPr>
    </w:lvl>
    <w:lvl w:ilvl="1" w:tplc="F2B0140C">
      <w:numFmt w:val="bullet"/>
      <w:lvlText w:val="•"/>
      <w:lvlJc w:val="left"/>
      <w:pPr>
        <w:ind w:left="384" w:hanging="249"/>
      </w:pPr>
      <w:rPr>
        <w:rFonts w:hint="default"/>
        <w:lang w:val="es-ES" w:eastAsia="es-ES" w:bidi="es-ES"/>
      </w:rPr>
    </w:lvl>
    <w:lvl w:ilvl="2" w:tplc="7856D874">
      <w:numFmt w:val="bullet"/>
      <w:lvlText w:val="•"/>
      <w:lvlJc w:val="left"/>
      <w:pPr>
        <w:ind w:left="708" w:hanging="249"/>
      </w:pPr>
      <w:rPr>
        <w:rFonts w:hint="default"/>
        <w:lang w:val="es-ES" w:eastAsia="es-ES" w:bidi="es-ES"/>
      </w:rPr>
    </w:lvl>
    <w:lvl w:ilvl="3" w:tplc="81B20136">
      <w:numFmt w:val="bullet"/>
      <w:lvlText w:val="•"/>
      <w:lvlJc w:val="left"/>
      <w:pPr>
        <w:ind w:left="1032" w:hanging="249"/>
      </w:pPr>
      <w:rPr>
        <w:rFonts w:hint="default"/>
        <w:lang w:val="es-ES" w:eastAsia="es-ES" w:bidi="es-ES"/>
      </w:rPr>
    </w:lvl>
    <w:lvl w:ilvl="4" w:tplc="D012BA98">
      <w:numFmt w:val="bullet"/>
      <w:lvlText w:val="•"/>
      <w:lvlJc w:val="left"/>
      <w:pPr>
        <w:ind w:left="1356" w:hanging="249"/>
      </w:pPr>
      <w:rPr>
        <w:rFonts w:hint="default"/>
        <w:lang w:val="es-ES" w:eastAsia="es-ES" w:bidi="es-ES"/>
      </w:rPr>
    </w:lvl>
    <w:lvl w:ilvl="5" w:tplc="03F8AB70">
      <w:numFmt w:val="bullet"/>
      <w:lvlText w:val="•"/>
      <w:lvlJc w:val="left"/>
      <w:pPr>
        <w:ind w:left="1681" w:hanging="249"/>
      </w:pPr>
      <w:rPr>
        <w:rFonts w:hint="default"/>
        <w:lang w:val="es-ES" w:eastAsia="es-ES" w:bidi="es-ES"/>
      </w:rPr>
    </w:lvl>
    <w:lvl w:ilvl="6" w:tplc="98A6876E">
      <w:numFmt w:val="bullet"/>
      <w:lvlText w:val="•"/>
      <w:lvlJc w:val="left"/>
      <w:pPr>
        <w:ind w:left="2005" w:hanging="249"/>
      </w:pPr>
      <w:rPr>
        <w:rFonts w:hint="default"/>
        <w:lang w:val="es-ES" w:eastAsia="es-ES" w:bidi="es-ES"/>
      </w:rPr>
    </w:lvl>
    <w:lvl w:ilvl="7" w:tplc="16A2A5C4">
      <w:numFmt w:val="bullet"/>
      <w:lvlText w:val="•"/>
      <w:lvlJc w:val="left"/>
      <w:pPr>
        <w:ind w:left="2329" w:hanging="249"/>
      </w:pPr>
      <w:rPr>
        <w:rFonts w:hint="default"/>
        <w:lang w:val="es-ES" w:eastAsia="es-ES" w:bidi="es-ES"/>
      </w:rPr>
    </w:lvl>
    <w:lvl w:ilvl="8" w:tplc="BEF2FD62">
      <w:numFmt w:val="bullet"/>
      <w:lvlText w:val="•"/>
      <w:lvlJc w:val="left"/>
      <w:pPr>
        <w:ind w:left="2653" w:hanging="249"/>
      </w:pPr>
      <w:rPr>
        <w:rFonts w:hint="default"/>
        <w:lang w:val="es-ES" w:eastAsia="es-ES" w:bidi="es-ES"/>
      </w:rPr>
    </w:lvl>
  </w:abstractNum>
  <w:abstractNum w:abstractNumId="18" w15:restartNumberingAfterBreak="0">
    <w:nsid w:val="39693DAE"/>
    <w:multiLevelType w:val="hybridMultilevel"/>
    <w:tmpl w:val="F9420D80"/>
    <w:lvl w:ilvl="0" w:tplc="4F4A3E6C">
      <w:start w:val="4"/>
      <w:numFmt w:val="lowerLetter"/>
      <w:lvlText w:val="%1)"/>
      <w:lvlJc w:val="left"/>
      <w:pPr>
        <w:ind w:left="56" w:hanging="229"/>
        <w:jc w:val="left"/>
      </w:pPr>
      <w:rPr>
        <w:rFonts w:ascii="Times New Roman" w:eastAsia="Times New Roman" w:hAnsi="Times New Roman" w:cs="Times New Roman" w:hint="default"/>
        <w:w w:val="99"/>
        <w:sz w:val="20"/>
        <w:szCs w:val="20"/>
        <w:lang w:val="es-ES" w:eastAsia="es-ES" w:bidi="es-ES"/>
      </w:rPr>
    </w:lvl>
    <w:lvl w:ilvl="1" w:tplc="085648C2">
      <w:numFmt w:val="bullet"/>
      <w:lvlText w:val="•"/>
      <w:lvlJc w:val="left"/>
      <w:pPr>
        <w:ind w:left="384" w:hanging="229"/>
      </w:pPr>
      <w:rPr>
        <w:rFonts w:hint="default"/>
        <w:lang w:val="es-ES" w:eastAsia="es-ES" w:bidi="es-ES"/>
      </w:rPr>
    </w:lvl>
    <w:lvl w:ilvl="2" w:tplc="8C52D212">
      <w:numFmt w:val="bullet"/>
      <w:lvlText w:val="•"/>
      <w:lvlJc w:val="left"/>
      <w:pPr>
        <w:ind w:left="708" w:hanging="229"/>
      </w:pPr>
      <w:rPr>
        <w:rFonts w:hint="default"/>
        <w:lang w:val="es-ES" w:eastAsia="es-ES" w:bidi="es-ES"/>
      </w:rPr>
    </w:lvl>
    <w:lvl w:ilvl="3" w:tplc="7B2021F6">
      <w:numFmt w:val="bullet"/>
      <w:lvlText w:val="•"/>
      <w:lvlJc w:val="left"/>
      <w:pPr>
        <w:ind w:left="1032" w:hanging="229"/>
      </w:pPr>
      <w:rPr>
        <w:rFonts w:hint="default"/>
        <w:lang w:val="es-ES" w:eastAsia="es-ES" w:bidi="es-ES"/>
      </w:rPr>
    </w:lvl>
    <w:lvl w:ilvl="4" w:tplc="5F907DEE">
      <w:numFmt w:val="bullet"/>
      <w:lvlText w:val="•"/>
      <w:lvlJc w:val="left"/>
      <w:pPr>
        <w:ind w:left="1356" w:hanging="229"/>
      </w:pPr>
      <w:rPr>
        <w:rFonts w:hint="default"/>
        <w:lang w:val="es-ES" w:eastAsia="es-ES" w:bidi="es-ES"/>
      </w:rPr>
    </w:lvl>
    <w:lvl w:ilvl="5" w:tplc="99B68496">
      <w:numFmt w:val="bullet"/>
      <w:lvlText w:val="•"/>
      <w:lvlJc w:val="left"/>
      <w:pPr>
        <w:ind w:left="1680" w:hanging="229"/>
      </w:pPr>
      <w:rPr>
        <w:rFonts w:hint="default"/>
        <w:lang w:val="es-ES" w:eastAsia="es-ES" w:bidi="es-ES"/>
      </w:rPr>
    </w:lvl>
    <w:lvl w:ilvl="6" w:tplc="06EA9BB6">
      <w:numFmt w:val="bullet"/>
      <w:lvlText w:val="•"/>
      <w:lvlJc w:val="left"/>
      <w:pPr>
        <w:ind w:left="2004" w:hanging="229"/>
      </w:pPr>
      <w:rPr>
        <w:rFonts w:hint="default"/>
        <w:lang w:val="es-ES" w:eastAsia="es-ES" w:bidi="es-ES"/>
      </w:rPr>
    </w:lvl>
    <w:lvl w:ilvl="7" w:tplc="1F1A6E80">
      <w:numFmt w:val="bullet"/>
      <w:lvlText w:val="•"/>
      <w:lvlJc w:val="left"/>
      <w:pPr>
        <w:ind w:left="2328" w:hanging="229"/>
      </w:pPr>
      <w:rPr>
        <w:rFonts w:hint="default"/>
        <w:lang w:val="es-ES" w:eastAsia="es-ES" w:bidi="es-ES"/>
      </w:rPr>
    </w:lvl>
    <w:lvl w:ilvl="8" w:tplc="A6B853CA">
      <w:numFmt w:val="bullet"/>
      <w:lvlText w:val="•"/>
      <w:lvlJc w:val="left"/>
      <w:pPr>
        <w:ind w:left="2652" w:hanging="229"/>
      </w:pPr>
      <w:rPr>
        <w:rFonts w:hint="default"/>
        <w:lang w:val="es-ES" w:eastAsia="es-ES" w:bidi="es-ES"/>
      </w:rPr>
    </w:lvl>
  </w:abstractNum>
  <w:abstractNum w:abstractNumId="19" w15:restartNumberingAfterBreak="0">
    <w:nsid w:val="404B3436"/>
    <w:multiLevelType w:val="hybridMultilevel"/>
    <w:tmpl w:val="7CE851F8"/>
    <w:lvl w:ilvl="0" w:tplc="12409EAC">
      <w:start w:val="1"/>
      <w:numFmt w:val="decimal"/>
      <w:lvlText w:val="%1."/>
      <w:lvlJc w:val="left"/>
      <w:pPr>
        <w:ind w:left="873" w:hanging="437"/>
        <w:jc w:val="left"/>
      </w:pPr>
      <w:rPr>
        <w:rFonts w:hint="default"/>
        <w:b/>
        <w:bCs/>
        <w:spacing w:val="-5"/>
        <w:w w:val="99"/>
        <w:lang w:val="es-ES" w:eastAsia="es-ES" w:bidi="es-ES"/>
      </w:rPr>
    </w:lvl>
    <w:lvl w:ilvl="1" w:tplc="AA60A894">
      <w:numFmt w:val="bullet"/>
      <w:lvlText w:val="•"/>
      <w:lvlJc w:val="left"/>
      <w:pPr>
        <w:ind w:left="1293" w:hanging="437"/>
      </w:pPr>
      <w:rPr>
        <w:rFonts w:hint="default"/>
        <w:lang w:val="es-ES" w:eastAsia="es-ES" w:bidi="es-ES"/>
      </w:rPr>
    </w:lvl>
    <w:lvl w:ilvl="2" w:tplc="DACEA184">
      <w:numFmt w:val="bullet"/>
      <w:lvlText w:val="•"/>
      <w:lvlJc w:val="left"/>
      <w:pPr>
        <w:ind w:left="1706" w:hanging="437"/>
      </w:pPr>
      <w:rPr>
        <w:rFonts w:hint="default"/>
        <w:lang w:val="es-ES" w:eastAsia="es-ES" w:bidi="es-ES"/>
      </w:rPr>
    </w:lvl>
    <w:lvl w:ilvl="3" w:tplc="C34CB790">
      <w:numFmt w:val="bullet"/>
      <w:lvlText w:val="•"/>
      <w:lvlJc w:val="left"/>
      <w:pPr>
        <w:ind w:left="2120" w:hanging="437"/>
      </w:pPr>
      <w:rPr>
        <w:rFonts w:hint="default"/>
        <w:lang w:val="es-ES" w:eastAsia="es-ES" w:bidi="es-ES"/>
      </w:rPr>
    </w:lvl>
    <w:lvl w:ilvl="4" w:tplc="7E340CB6">
      <w:numFmt w:val="bullet"/>
      <w:lvlText w:val="•"/>
      <w:lvlJc w:val="left"/>
      <w:pPr>
        <w:ind w:left="2533" w:hanging="437"/>
      </w:pPr>
      <w:rPr>
        <w:rFonts w:hint="default"/>
        <w:lang w:val="es-ES" w:eastAsia="es-ES" w:bidi="es-ES"/>
      </w:rPr>
    </w:lvl>
    <w:lvl w:ilvl="5" w:tplc="013A59E4">
      <w:numFmt w:val="bullet"/>
      <w:lvlText w:val="•"/>
      <w:lvlJc w:val="left"/>
      <w:pPr>
        <w:ind w:left="2947" w:hanging="437"/>
      </w:pPr>
      <w:rPr>
        <w:rFonts w:hint="default"/>
        <w:lang w:val="es-ES" w:eastAsia="es-ES" w:bidi="es-ES"/>
      </w:rPr>
    </w:lvl>
    <w:lvl w:ilvl="6" w:tplc="F9087478">
      <w:numFmt w:val="bullet"/>
      <w:lvlText w:val="•"/>
      <w:lvlJc w:val="left"/>
      <w:pPr>
        <w:ind w:left="3360" w:hanging="437"/>
      </w:pPr>
      <w:rPr>
        <w:rFonts w:hint="default"/>
        <w:lang w:val="es-ES" w:eastAsia="es-ES" w:bidi="es-ES"/>
      </w:rPr>
    </w:lvl>
    <w:lvl w:ilvl="7" w:tplc="9E84C188">
      <w:numFmt w:val="bullet"/>
      <w:lvlText w:val="•"/>
      <w:lvlJc w:val="left"/>
      <w:pPr>
        <w:ind w:left="3773" w:hanging="437"/>
      </w:pPr>
      <w:rPr>
        <w:rFonts w:hint="default"/>
        <w:lang w:val="es-ES" w:eastAsia="es-ES" w:bidi="es-ES"/>
      </w:rPr>
    </w:lvl>
    <w:lvl w:ilvl="8" w:tplc="01D0E252">
      <w:numFmt w:val="bullet"/>
      <w:lvlText w:val="•"/>
      <w:lvlJc w:val="left"/>
      <w:pPr>
        <w:ind w:left="4187" w:hanging="437"/>
      </w:pPr>
      <w:rPr>
        <w:rFonts w:hint="default"/>
        <w:lang w:val="es-ES" w:eastAsia="es-ES" w:bidi="es-ES"/>
      </w:rPr>
    </w:lvl>
  </w:abstractNum>
  <w:abstractNum w:abstractNumId="20" w15:restartNumberingAfterBreak="0">
    <w:nsid w:val="45563C90"/>
    <w:multiLevelType w:val="hybridMultilevel"/>
    <w:tmpl w:val="467EC9AA"/>
    <w:lvl w:ilvl="0" w:tplc="17EE7D4E">
      <w:start w:val="1"/>
      <w:numFmt w:val="lowerLetter"/>
      <w:lvlText w:val="%1)"/>
      <w:lvlJc w:val="left"/>
      <w:pPr>
        <w:ind w:left="720" w:hanging="360"/>
      </w:pPr>
      <w:rPr>
        <w:rFonts w:ascii="Times New Roman" w:eastAsia="Times New Roman" w:hAnsi="Times New Roman" w:cs="Times New Roman" w:hint="default"/>
        <w:b/>
        <w:bCs/>
        <w:w w:val="99"/>
        <w:sz w:val="24"/>
        <w:szCs w:val="24"/>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50225B"/>
    <w:multiLevelType w:val="hybridMultilevel"/>
    <w:tmpl w:val="8DC0699A"/>
    <w:lvl w:ilvl="0" w:tplc="C060DE4C">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1" w:tplc="8C9CDE02">
      <w:numFmt w:val="bullet"/>
      <w:lvlText w:val="•"/>
      <w:lvlJc w:val="left"/>
      <w:pPr>
        <w:ind w:left="1252" w:hanging="400"/>
      </w:pPr>
      <w:rPr>
        <w:rFonts w:hint="default"/>
        <w:lang w:val="es-ES" w:eastAsia="es-ES" w:bidi="es-ES"/>
      </w:rPr>
    </w:lvl>
    <w:lvl w:ilvl="2" w:tplc="73ECB3F6">
      <w:numFmt w:val="bullet"/>
      <w:lvlText w:val="•"/>
      <w:lvlJc w:val="left"/>
      <w:pPr>
        <w:ind w:left="1665" w:hanging="400"/>
      </w:pPr>
      <w:rPr>
        <w:rFonts w:hint="default"/>
        <w:lang w:val="es-ES" w:eastAsia="es-ES" w:bidi="es-ES"/>
      </w:rPr>
    </w:lvl>
    <w:lvl w:ilvl="3" w:tplc="77BE5274">
      <w:numFmt w:val="bullet"/>
      <w:lvlText w:val="•"/>
      <w:lvlJc w:val="left"/>
      <w:pPr>
        <w:ind w:left="2077" w:hanging="400"/>
      </w:pPr>
      <w:rPr>
        <w:rFonts w:hint="default"/>
        <w:lang w:val="es-ES" w:eastAsia="es-ES" w:bidi="es-ES"/>
      </w:rPr>
    </w:lvl>
    <w:lvl w:ilvl="4" w:tplc="C0D084EE">
      <w:numFmt w:val="bullet"/>
      <w:lvlText w:val="•"/>
      <w:lvlJc w:val="left"/>
      <w:pPr>
        <w:ind w:left="2490" w:hanging="400"/>
      </w:pPr>
      <w:rPr>
        <w:rFonts w:hint="default"/>
        <w:lang w:val="es-ES" w:eastAsia="es-ES" w:bidi="es-ES"/>
      </w:rPr>
    </w:lvl>
    <w:lvl w:ilvl="5" w:tplc="012C5A18">
      <w:numFmt w:val="bullet"/>
      <w:lvlText w:val="•"/>
      <w:lvlJc w:val="left"/>
      <w:pPr>
        <w:ind w:left="2903" w:hanging="400"/>
      </w:pPr>
      <w:rPr>
        <w:rFonts w:hint="default"/>
        <w:lang w:val="es-ES" w:eastAsia="es-ES" w:bidi="es-ES"/>
      </w:rPr>
    </w:lvl>
    <w:lvl w:ilvl="6" w:tplc="E07C9650">
      <w:numFmt w:val="bullet"/>
      <w:lvlText w:val="•"/>
      <w:lvlJc w:val="left"/>
      <w:pPr>
        <w:ind w:left="3315" w:hanging="400"/>
      </w:pPr>
      <w:rPr>
        <w:rFonts w:hint="default"/>
        <w:lang w:val="es-ES" w:eastAsia="es-ES" w:bidi="es-ES"/>
      </w:rPr>
    </w:lvl>
    <w:lvl w:ilvl="7" w:tplc="159E92F0">
      <w:numFmt w:val="bullet"/>
      <w:lvlText w:val="•"/>
      <w:lvlJc w:val="left"/>
      <w:pPr>
        <w:ind w:left="3728" w:hanging="400"/>
      </w:pPr>
      <w:rPr>
        <w:rFonts w:hint="default"/>
        <w:lang w:val="es-ES" w:eastAsia="es-ES" w:bidi="es-ES"/>
      </w:rPr>
    </w:lvl>
    <w:lvl w:ilvl="8" w:tplc="A5C6286C">
      <w:numFmt w:val="bullet"/>
      <w:lvlText w:val="•"/>
      <w:lvlJc w:val="left"/>
      <w:pPr>
        <w:ind w:left="4140" w:hanging="400"/>
      </w:pPr>
      <w:rPr>
        <w:rFonts w:hint="default"/>
        <w:lang w:val="es-ES" w:eastAsia="es-ES" w:bidi="es-ES"/>
      </w:rPr>
    </w:lvl>
  </w:abstractNum>
  <w:abstractNum w:abstractNumId="22" w15:restartNumberingAfterBreak="0">
    <w:nsid w:val="4A817CC3"/>
    <w:multiLevelType w:val="hybridMultilevel"/>
    <w:tmpl w:val="51D27276"/>
    <w:lvl w:ilvl="0" w:tplc="753A912A">
      <w:start w:val="6"/>
      <w:numFmt w:val="decimal"/>
      <w:lvlText w:val="%1."/>
      <w:lvlJc w:val="left"/>
      <w:pPr>
        <w:ind w:left="833" w:hanging="400"/>
        <w:jc w:val="right"/>
      </w:pPr>
      <w:rPr>
        <w:rFonts w:hint="default"/>
        <w:b/>
        <w:bCs/>
        <w:spacing w:val="-30"/>
        <w:w w:val="99"/>
        <w:lang w:val="es-ES" w:eastAsia="es-ES" w:bidi="es-ES"/>
      </w:rPr>
    </w:lvl>
    <w:lvl w:ilvl="1" w:tplc="84041AE6">
      <w:start w:val="1"/>
      <w:numFmt w:val="upperRoman"/>
      <w:lvlText w:val="%2."/>
      <w:lvlJc w:val="left"/>
      <w:pPr>
        <w:ind w:left="1569" w:hanging="201"/>
        <w:jc w:val="right"/>
      </w:pPr>
      <w:rPr>
        <w:rFonts w:hint="default"/>
        <w:b/>
        <w:bCs/>
        <w:w w:val="99"/>
        <w:lang w:val="es-ES" w:eastAsia="es-ES" w:bidi="es-ES"/>
      </w:rPr>
    </w:lvl>
    <w:lvl w:ilvl="2" w:tplc="2FCAE492">
      <w:numFmt w:val="bullet"/>
      <w:lvlText w:val="•"/>
      <w:lvlJc w:val="left"/>
      <w:pPr>
        <w:ind w:left="1376" w:hanging="201"/>
      </w:pPr>
      <w:rPr>
        <w:rFonts w:hint="default"/>
        <w:lang w:val="es-ES" w:eastAsia="es-ES" w:bidi="es-ES"/>
      </w:rPr>
    </w:lvl>
    <w:lvl w:ilvl="3" w:tplc="677C9BA8">
      <w:numFmt w:val="bullet"/>
      <w:lvlText w:val="•"/>
      <w:lvlJc w:val="left"/>
      <w:pPr>
        <w:ind w:left="1193" w:hanging="201"/>
      </w:pPr>
      <w:rPr>
        <w:rFonts w:hint="default"/>
        <w:lang w:val="es-ES" w:eastAsia="es-ES" w:bidi="es-ES"/>
      </w:rPr>
    </w:lvl>
    <w:lvl w:ilvl="4" w:tplc="1304E2C2">
      <w:numFmt w:val="bullet"/>
      <w:lvlText w:val="•"/>
      <w:lvlJc w:val="left"/>
      <w:pPr>
        <w:ind w:left="1010" w:hanging="201"/>
      </w:pPr>
      <w:rPr>
        <w:rFonts w:hint="default"/>
        <w:lang w:val="es-ES" w:eastAsia="es-ES" w:bidi="es-ES"/>
      </w:rPr>
    </w:lvl>
    <w:lvl w:ilvl="5" w:tplc="BCC0C6A4">
      <w:numFmt w:val="bullet"/>
      <w:lvlText w:val="•"/>
      <w:lvlJc w:val="left"/>
      <w:pPr>
        <w:ind w:left="827" w:hanging="201"/>
      </w:pPr>
      <w:rPr>
        <w:rFonts w:hint="default"/>
        <w:lang w:val="es-ES" w:eastAsia="es-ES" w:bidi="es-ES"/>
      </w:rPr>
    </w:lvl>
    <w:lvl w:ilvl="6" w:tplc="39EA4938">
      <w:numFmt w:val="bullet"/>
      <w:lvlText w:val="•"/>
      <w:lvlJc w:val="left"/>
      <w:pPr>
        <w:ind w:left="643" w:hanging="201"/>
      </w:pPr>
      <w:rPr>
        <w:rFonts w:hint="default"/>
        <w:lang w:val="es-ES" w:eastAsia="es-ES" w:bidi="es-ES"/>
      </w:rPr>
    </w:lvl>
    <w:lvl w:ilvl="7" w:tplc="522CF024">
      <w:numFmt w:val="bullet"/>
      <w:lvlText w:val="•"/>
      <w:lvlJc w:val="left"/>
      <w:pPr>
        <w:ind w:left="460" w:hanging="201"/>
      </w:pPr>
      <w:rPr>
        <w:rFonts w:hint="default"/>
        <w:lang w:val="es-ES" w:eastAsia="es-ES" w:bidi="es-ES"/>
      </w:rPr>
    </w:lvl>
    <w:lvl w:ilvl="8" w:tplc="4768ED30">
      <w:numFmt w:val="bullet"/>
      <w:lvlText w:val="•"/>
      <w:lvlJc w:val="left"/>
      <w:pPr>
        <w:ind w:left="277" w:hanging="201"/>
      </w:pPr>
      <w:rPr>
        <w:rFonts w:hint="default"/>
        <w:lang w:val="es-ES" w:eastAsia="es-ES" w:bidi="es-ES"/>
      </w:rPr>
    </w:lvl>
  </w:abstractNum>
  <w:abstractNum w:abstractNumId="23" w15:restartNumberingAfterBreak="0">
    <w:nsid w:val="4BD90047"/>
    <w:multiLevelType w:val="hybridMultilevel"/>
    <w:tmpl w:val="71FAE30A"/>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4" w15:restartNumberingAfterBreak="0">
    <w:nsid w:val="4C3C67F2"/>
    <w:multiLevelType w:val="hybridMultilevel"/>
    <w:tmpl w:val="65D291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9E6760"/>
    <w:multiLevelType w:val="hybridMultilevel"/>
    <w:tmpl w:val="4CAE3E64"/>
    <w:lvl w:ilvl="0" w:tplc="48182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F49C3"/>
    <w:multiLevelType w:val="hybridMultilevel"/>
    <w:tmpl w:val="161EDD44"/>
    <w:lvl w:ilvl="0" w:tplc="F90007AA">
      <w:start w:val="2"/>
      <w:numFmt w:val="lowerLetter"/>
      <w:lvlText w:val="%1)"/>
      <w:lvlJc w:val="left"/>
      <w:pPr>
        <w:ind w:left="56" w:hanging="217"/>
        <w:jc w:val="left"/>
      </w:pPr>
      <w:rPr>
        <w:rFonts w:ascii="Times New Roman" w:eastAsia="Times New Roman" w:hAnsi="Times New Roman" w:cs="Times New Roman" w:hint="default"/>
        <w:w w:val="100"/>
        <w:sz w:val="20"/>
        <w:szCs w:val="20"/>
        <w:lang w:val="es-ES" w:eastAsia="es-ES" w:bidi="es-ES"/>
      </w:rPr>
    </w:lvl>
    <w:lvl w:ilvl="1" w:tplc="6F14EF9C">
      <w:numFmt w:val="bullet"/>
      <w:lvlText w:val="•"/>
      <w:lvlJc w:val="left"/>
      <w:pPr>
        <w:ind w:left="384" w:hanging="217"/>
      </w:pPr>
      <w:rPr>
        <w:rFonts w:hint="default"/>
        <w:lang w:val="es-ES" w:eastAsia="es-ES" w:bidi="es-ES"/>
      </w:rPr>
    </w:lvl>
    <w:lvl w:ilvl="2" w:tplc="EF12188E">
      <w:numFmt w:val="bullet"/>
      <w:lvlText w:val="•"/>
      <w:lvlJc w:val="left"/>
      <w:pPr>
        <w:ind w:left="708" w:hanging="217"/>
      </w:pPr>
      <w:rPr>
        <w:rFonts w:hint="default"/>
        <w:lang w:val="es-ES" w:eastAsia="es-ES" w:bidi="es-ES"/>
      </w:rPr>
    </w:lvl>
    <w:lvl w:ilvl="3" w:tplc="4FD64886">
      <w:numFmt w:val="bullet"/>
      <w:lvlText w:val="•"/>
      <w:lvlJc w:val="left"/>
      <w:pPr>
        <w:ind w:left="1032" w:hanging="217"/>
      </w:pPr>
      <w:rPr>
        <w:rFonts w:hint="default"/>
        <w:lang w:val="es-ES" w:eastAsia="es-ES" w:bidi="es-ES"/>
      </w:rPr>
    </w:lvl>
    <w:lvl w:ilvl="4" w:tplc="A92C8E98">
      <w:numFmt w:val="bullet"/>
      <w:lvlText w:val="•"/>
      <w:lvlJc w:val="left"/>
      <w:pPr>
        <w:ind w:left="1356" w:hanging="217"/>
      </w:pPr>
      <w:rPr>
        <w:rFonts w:hint="default"/>
        <w:lang w:val="es-ES" w:eastAsia="es-ES" w:bidi="es-ES"/>
      </w:rPr>
    </w:lvl>
    <w:lvl w:ilvl="5" w:tplc="C71865C4">
      <w:numFmt w:val="bullet"/>
      <w:lvlText w:val="•"/>
      <w:lvlJc w:val="left"/>
      <w:pPr>
        <w:ind w:left="1680" w:hanging="217"/>
      </w:pPr>
      <w:rPr>
        <w:rFonts w:hint="default"/>
        <w:lang w:val="es-ES" w:eastAsia="es-ES" w:bidi="es-ES"/>
      </w:rPr>
    </w:lvl>
    <w:lvl w:ilvl="6" w:tplc="91BEC6C8">
      <w:numFmt w:val="bullet"/>
      <w:lvlText w:val="•"/>
      <w:lvlJc w:val="left"/>
      <w:pPr>
        <w:ind w:left="2004" w:hanging="217"/>
      </w:pPr>
      <w:rPr>
        <w:rFonts w:hint="default"/>
        <w:lang w:val="es-ES" w:eastAsia="es-ES" w:bidi="es-ES"/>
      </w:rPr>
    </w:lvl>
    <w:lvl w:ilvl="7" w:tplc="69AECBDA">
      <w:numFmt w:val="bullet"/>
      <w:lvlText w:val="•"/>
      <w:lvlJc w:val="left"/>
      <w:pPr>
        <w:ind w:left="2328" w:hanging="217"/>
      </w:pPr>
      <w:rPr>
        <w:rFonts w:hint="default"/>
        <w:lang w:val="es-ES" w:eastAsia="es-ES" w:bidi="es-ES"/>
      </w:rPr>
    </w:lvl>
    <w:lvl w:ilvl="8" w:tplc="F558EBFE">
      <w:numFmt w:val="bullet"/>
      <w:lvlText w:val="•"/>
      <w:lvlJc w:val="left"/>
      <w:pPr>
        <w:ind w:left="2652" w:hanging="217"/>
      </w:pPr>
      <w:rPr>
        <w:rFonts w:hint="default"/>
        <w:lang w:val="es-ES" w:eastAsia="es-ES" w:bidi="es-ES"/>
      </w:rPr>
    </w:lvl>
  </w:abstractNum>
  <w:abstractNum w:abstractNumId="27" w15:restartNumberingAfterBreak="0">
    <w:nsid w:val="517942B6"/>
    <w:multiLevelType w:val="hybridMultilevel"/>
    <w:tmpl w:val="12BE6FF4"/>
    <w:lvl w:ilvl="0" w:tplc="17EE7D4E">
      <w:start w:val="1"/>
      <w:numFmt w:val="lowerLetter"/>
      <w:lvlText w:val="%1)"/>
      <w:lvlJc w:val="left"/>
      <w:pPr>
        <w:ind w:left="1003" w:hanging="360"/>
      </w:pPr>
      <w:rPr>
        <w:rFonts w:ascii="Times New Roman" w:eastAsia="Times New Roman" w:hAnsi="Times New Roman" w:cs="Times New Roman" w:hint="default"/>
        <w:b/>
        <w:bCs/>
        <w:w w:val="99"/>
        <w:sz w:val="24"/>
        <w:szCs w:val="24"/>
        <w:lang w:val="es-ES" w:eastAsia="es-ES" w:bidi="es-ES"/>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28" w15:restartNumberingAfterBreak="0">
    <w:nsid w:val="59EF6737"/>
    <w:multiLevelType w:val="hybridMultilevel"/>
    <w:tmpl w:val="CB0C2806"/>
    <w:lvl w:ilvl="0" w:tplc="D3FAB786">
      <w:numFmt w:val="bullet"/>
      <w:lvlText w:val="•"/>
      <w:lvlJc w:val="left"/>
      <w:pPr>
        <w:ind w:left="833" w:hanging="400"/>
      </w:pPr>
      <w:rPr>
        <w:rFonts w:ascii="Times New Roman" w:eastAsia="Times New Roman" w:hAnsi="Times New Roman" w:cs="Times New Roman" w:hint="default"/>
        <w:color w:val="231F20"/>
        <w:w w:val="99"/>
        <w:sz w:val="23"/>
        <w:szCs w:val="23"/>
        <w:lang w:val="es-ES" w:eastAsia="es-ES" w:bidi="es-ES"/>
      </w:rPr>
    </w:lvl>
    <w:lvl w:ilvl="1" w:tplc="0C6CF5D6">
      <w:numFmt w:val="bullet"/>
      <w:lvlText w:val="•"/>
      <w:lvlJc w:val="left"/>
      <w:pPr>
        <w:ind w:left="1252" w:hanging="400"/>
      </w:pPr>
      <w:rPr>
        <w:rFonts w:hint="default"/>
        <w:lang w:val="es-ES" w:eastAsia="es-ES" w:bidi="es-ES"/>
      </w:rPr>
    </w:lvl>
    <w:lvl w:ilvl="2" w:tplc="BA8AE8A8">
      <w:numFmt w:val="bullet"/>
      <w:lvlText w:val="•"/>
      <w:lvlJc w:val="left"/>
      <w:pPr>
        <w:ind w:left="1665" w:hanging="400"/>
      </w:pPr>
      <w:rPr>
        <w:rFonts w:hint="default"/>
        <w:lang w:val="es-ES" w:eastAsia="es-ES" w:bidi="es-ES"/>
      </w:rPr>
    </w:lvl>
    <w:lvl w:ilvl="3" w:tplc="3B4C642E">
      <w:numFmt w:val="bullet"/>
      <w:lvlText w:val="•"/>
      <w:lvlJc w:val="left"/>
      <w:pPr>
        <w:ind w:left="2078" w:hanging="400"/>
      </w:pPr>
      <w:rPr>
        <w:rFonts w:hint="default"/>
        <w:lang w:val="es-ES" w:eastAsia="es-ES" w:bidi="es-ES"/>
      </w:rPr>
    </w:lvl>
    <w:lvl w:ilvl="4" w:tplc="C6287E4A">
      <w:numFmt w:val="bullet"/>
      <w:lvlText w:val="•"/>
      <w:lvlJc w:val="left"/>
      <w:pPr>
        <w:ind w:left="2490" w:hanging="400"/>
      </w:pPr>
      <w:rPr>
        <w:rFonts w:hint="default"/>
        <w:lang w:val="es-ES" w:eastAsia="es-ES" w:bidi="es-ES"/>
      </w:rPr>
    </w:lvl>
    <w:lvl w:ilvl="5" w:tplc="6368F6C8">
      <w:numFmt w:val="bullet"/>
      <w:lvlText w:val="•"/>
      <w:lvlJc w:val="left"/>
      <w:pPr>
        <w:ind w:left="2903" w:hanging="400"/>
      </w:pPr>
      <w:rPr>
        <w:rFonts w:hint="default"/>
        <w:lang w:val="es-ES" w:eastAsia="es-ES" w:bidi="es-ES"/>
      </w:rPr>
    </w:lvl>
    <w:lvl w:ilvl="6" w:tplc="206645E0">
      <w:numFmt w:val="bullet"/>
      <w:lvlText w:val="•"/>
      <w:lvlJc w:val="left"/>
      <w:pPr>
        <w:ind w:left="3316" w:hanging="400"/>
      </w:pPr>
      <w:rPr>
        <w:rFonts w:hint="default"/>
        <w:lang w:val="es-ES" w:eastAsia="es-ES" w:bidi="es-ES"/>
      </w:rPr>
    </w:lvl>
    <w:lvl w:ilvl="7" w:tplc="FF70FE1E">
      <w:numFmt w:val="bullet"/>
      <w:lvlText w:val="•"/>
      <w:lvlJc w:val="left"/>
      <w:pPr>
        <w:ind w:left="3729" w:hanging="400"/>
      </w:pPr>
      <w:rPr>
        <w:rFonts w:hint="default"/>
        <w:lang w:val="es-ES" w:eastAsia="es-ES" w:bidi="es-ES"/>
      </w:rPr>
    </w:lvl>
    <w:lvl w:ilvl="8" w:tplc="5116448C">
      <w:numFmt w:val="bullet"/>
      <w:lvlText w:val="•"/>
      <w:lvlJc w:val="left"/>
      <w:pPr>
        <w:ind w:left="4141" w:hanging="400"/>
      </w:pPr>
      <w:rPr>
        <w:rFonts w:hint="default"/>
        <w:lang w:val="es-ES" w:eastAsia="es-ES" w:bidi="es-ES"/>
      </w:rPr>
    </w:lvl>
  </w:abstractNum>
  <w:abstractNum w:abstractNumId="29" w15:restartNumberingAfterBreak="0">
    <w:nsid w:val="5ED56070"/>
    <w:multiLevelType w:val="hybridMultilevel"/>
    <w:tmpl w:val="43C2ECC8"/>
    <w:lvl w:ilvl="0" w:tplc="8A9C130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074A0"/>
    <w:multiLevelType w:val="hybridMultilevel"/>
    <w:tmpl w:val="CCA209CC"/>
    <w:lvl w:ilvl="0" w:tplc="317A99B8">
      <w:start w:val="4"/>
      <w:numFmt w:val="lowerLetter"/>
      <w:lvlText w:val="%1)"/>
      <w:lvlJc w:val="left"/>
      <w:pPr>
        <w:ind w:left="56" w:hanging="229"/>
        <w:jc w:val="left"/>
      </w:pPr>
      <w:rPr>
        <w:rFonts w:hint="default"/>
        <w:w w:val="99"/>
        <w:lang w:val="es-ES" w:eastAsia="es-ES" w:bidi="es-ES"/>
      </w:rPr>
    </w:lvl>
    <w:lvl w:ilvl="1" w:tplc="A376855E">
      <w:numFmt w:val="bullet"/>
      <w:lvlText w:val="•"/>
      <w:lvlJc w:val="left"/>
      <w:pPr>
        <w:ind w:left="384" w:hanging="229"/>
      </w:pPr>
      <w:rPr>
        <w:rFonts w:hint="default"/>
        <w:lang w:val="es-ES" w:eastAsia="es-ES" w:bidi="es-ES"/>
      </w:rPr>
    </w:lvl>
    <w:lvl w:ilvl="2" w:tplc="FA1C9046">
      <w:numFmt w:val="bullet"/>
      <w:lvlText w:val="•"/>
      <w:lvlJc w:val="left"/>
      <w:pPr>
        <w:ind w:left="708" w:hanging="229"/>
      </w:pPr>
      <w:rPr>
        <w:rFonts w:hint="default"/>
        <w:lang w:val="es-ES" w:eastAsia="es-ES" w:bidi="es-ES"/>
      </w:rPr>
    </w:lvl>
    <w:lvl w:ilvl="3" w:tplc="59AC84E6">
      <w:numFmt w:val="bullet"/>
      <w:lvlText w:val="•"/>
      <w:lvlJc w:val="left"/>
      <w:pPr>
        <w:ind w:left="1032" w:hanging="229"/>
      </w:pPr>
      <w:rPr>
        <w:rFonts w:hint="default"/>
        <w:lang w:val="es-ES" w:eastAsia="es-ES" w:bidi="es-ES"/>
      </w:rPr>
    </w:lvl>
    <w:lvl w:ilvl="4" w:tplc="E57A2C14">
      <w:numFmt w:val="bullet"/>
      <w:lvlText w:val="•"/>
      <w:lvlJc w:val="left"/>
      <w:pPr>
        <w:ind w:left="1356" w:hanging="229"/>
      </w:pPr>
      <w:rPr>
        <w:rFonts w:hint="default"/>
        <w:lang w:val="es-ES" w:eastAsia="es-ES" w:bidi="es-ES"/>
      </w:rPr>
    </w:lvl>
    <w:lvl w:ilvl="5" w:tplc="5360E5BA">
      <w:numFmt w:val="bullet"/>
      <w:lvlText w:val="•"/>
      <w:lvlJc w:val="left"/>
      <w:pPr>
        <w:ind w:left="1680" w:hanging="229"/>
      </w:pPr>
      <w:rPr>
        <w:rFonts w:hint="default"/>
        <w:lang w:val="es-ES" w:eastAsia="es-ES" w:bidi="es-ES"/>
      </w:rPr>
    </w:lvl>
    <w:lvl w:ilvl="6" w:tplc="93D847B4">
      <w:numFmt w:val="bullet"/>
      <w:lvlText w:val="•"/>
      <w:lvlJc w:val="left"/>
      <w:pPr>
        <w:ind w:left="2004" w:hanging="229"/>
      </w:pPr>
      <w:rPr>
        <w:rFonts w:hint="default"/>
        <w:lang w:val="es-ES" w:eastAsia="es-ES" w:bidi="es-ES"/>
      </w:rPr>
    </w:lvl>
    <w:lvl w:ilvl="7" w:tplc="357882F0">
      <w:numFmt w:val="bullet"/>
      <w:lvlText w:val="•"/>
      <w:lvlJc w:val="left"/>
      <w:pPr>
        <w:ind w:left="2328" w:hanging="229"/>
      </w:pPr>
      <w:rPr>
        <w:rFonts w:hint="default"/>
        <w:lang w:val="es-ES" w:eastAsia="es-ES" w:bidi="es-ES"/>
      </w:rPr>
    </w:lvl>
    <w:lvl w:ilvl="8" w:tplc="BA6E88F8">
      <w:numFmt w:val="bullet"/>
      <w:lvlText w:val="•"/>
      <w:lvlJc w:val="left"/>
      <w:pPr>
        <w:ind w:left="2652" w:hanging="229"/>
      </w:pPr>
      <w:rPr>
        <w:rFonts w:hint="default"/>
        <w:lang w:val="es-ES" w:eastAsia="es-ES" w:bidi="es-ES"/>
      </w:rPr>
    </w:lvl>
  </w:abstractNum>
  <w:abstractNum w:abstractNumId="31" w15:restartNumberingAfterBreak="0">
    <w:nsid w:val="604D37C0"/>
    <w:multiLevelType w:val="hybridMultilevel"/>
    <w:tmpl w:val="0F4E7F00"/>
    <w:lvl w:ilvl="0" w:tplc="CBBEAD4A">
      <w:start w:val="1"/>
      <w:numFmt w:val="lowerLetter"/>
      <w:lvlText w:val="%1)"/>
      <w:lvlJc w:val="left"/>
      <w:pPr>
        <w:ind w:left="56" w:hanging="201"/>
        <w:jc w:val="left"/>
      </w:pPr>
      <w:rPr>
        <w:rFonts w:ascii="Times New Roman" w:eastAsia="Times New Roman" w:hAnsi="Times New Roman" w:cs="Times New Roman" w:hint="default"/>
        <w:w w:val="99"/>
        <w:sz w:val="20"/>
        <w:szCs w:val="20"/>
        <w:lang w:val="es-ES" w:eastAsia="es-ES" w:bidi="es-ES"/>
      </w:rPr>
    </w:lvl>
    <w:lvl w:ilvl="1" w:tplc="9432A540">
      <w:numFmt w:val="bullet"/>
      <w:lvlText w:val="•"/>
      <w:lvlJc w:val="left"/>
      <w:pPr>
        <w:ind w:left="384" w:hanging="201"/>
      </w:pPr>
      <w:rPr>
        <w:rFonts w:hint="default"/>
        <w:lang w:val="es-ES" w:eastAsia="es-ES" w:bidi="es-ES"/>
      </w:rPr>
    </w:lvl>
    <w:lvl w:ilvl="2" w:tplc="1D165D9C">
      <w:numFmt w:val="bullet"/>
      <w:lvlText w:val="•"/>
      <w:lvlJc w:val="left"/>
      <w:pPr>
        <w:ind w:left="708" w:hanging="201"/>
      </w:pPr>
      <w:rPr>
        <w:rFonts w:hint="default"/>
        <w:lang w:val="es-ES" w:eastAsia="es-ES" w:bidi="es-ES"/>
      </w:rPr>
    </w:lvl>
    <w:lvl w:ilvl="3" w:tplc="C65E8476">
      <w:numFmt w:val="bullet"/>
      <w:lvlText w:val="•"/>
      <w:lvlJc w:val="left"/>
      <w:pPr>
        <w:ind w:left="1032" w:hanging="201"/>
      </w:pPr>
      <w:rPr>
        <w:rFonts w:hint="default"/>
        <w:lang w:val="es-ES" w:eastAsia="es-ES" w:bidi="es-ES"/>
      </w:rPr>
    </w:lvl>
    <w:lvl w:ilvl="4" w:tplc="1FC631BA">
      <w:numFmt w:val="bullet"/>
      <w:lvlText w:val="•"/>
      <w:lvlJc w:val="left"/>
      <w:pPr>
        <w:ind w:left="1356" w:hanging="201"/>
      </w:pPr>
      <w:rPr>
        <w:rFonts w:hint="default"/>
        <w:lang w:val="es-ES" w:eastAsia="es-ES" w:bidi="es-ES"/>
      </w:rPr>
    </w:lvl>
    <w:lvl w:ilvl="5" w:tplc="397CD01E">
      <w:numFmt w:val="bullet"/>
      <w:lvlText w:val="•"/>
      <w:lvlJc w:val="left"/>
      <w:pPr>
        <w:ind w:left="1681" w:hanging="201"/>
      </w:pPr>
      <w:rPr>
        <w:rFonts w:hint="default"/>
        <w:lang w:val="es-ES" w:eastAsia="es-ES" w:bidi="es-ES"/>
      </w:rPr>
    </w:lvl>
    <w:lvl w:ilvl="6" w:tplc="CF626C12">
      <w:numFmt w:val="bullet"/>
      <w:lvlText w:val="•"/>
      <w:lvlJc w:val="left"/>
      <w:pPr>
        <w:ind w:left="2005" w:hanging="201"/>
      </w:pPr>
      <w:rPr>
        <w:rFonts w:hint="default"/>
        <w:lang w:val="es-ES" w:eastAsia="es-ES" w:bidi="es-ES"/>
      </w:rPr>
    </w:lvl>
    <w:lvl w:ilvl="7" w:tplc="7F58DD8E">
      <w:numFmt w:val="bullet"/>
      <w:lvlText w:val="•"/>
      <w:lvlJc w:val="left"/>
      <w:pPr>
        <w:ind w:left="2329" w:hanging="201"/>
      </w:pPr>
      <w:rPr>
        <w:rFonts w:hint="default"/>
        <w:lang w:val="es-ES" w:eastAsia="es-ES" w:bidi="es-ES"/>
      </w:rPr>
    </w:lvl>
    <w:lvl w:ilvl="8" w:tplc="45C65048">
      <w:numFmt w:val="bullet"/>
      <w:lvlText w:val="•"/>
      <w:lvlJc w:val="left"/>
      <w:pPr>
        <w:ind w:left="2653" w:hanging="201"/>
      </w:pPr>
      <w:rPr>
        <w:rFonts w:hint="default"/>
        <w:lang w:val="es-ES" w:eastAsia="es-ES" w:bidi="es-ES"/>
      </w:rPr>
    </w:lvl>
  </w:abstractNum>
  <w:abstractNum w:abstractNumId="32" w15:restartNumberingAfterBreak="0">
    <w:nsid w:val="62674C75"/>
    <w:multiLevelType w:val="multilevel"/>
    <w:tmpl w:val="35BCDB10"/>
    <w:lvl w:ilvl="0">
      <w:start w:val="5"/>
      <w:numFmt w:val="decimal"/>
      <w:lvlText w:val="%1."/>
      <w:lvlJc w:val="left"/>
      <w:pPr>
        <w:ind w:left="682" w:hanging="235"/>
        <w:jc w:val="left"/>
      </w:pPr>
      <w:rPr>
        <w:rFonts w:ascii="Times New Roman" w:eastAsia="Times New Roman" w:hAnsi="Times New Roman" w:cs="Times New Roman" w:hint="default"/>
        <w:b/>
        <w:bCs/>
        <w:color w:val="231F20"/>
        <w:w w:val="100"/>
        <w:sz w:val="23"/>
        <w:szCs w:val="23"/>
        <w:lang w:val="es-ES" w:eastAsia="es-ES" w:bidi="es-ES"/>
      </w:rPr>
    </w:lvl>
    <w:lvl w:ilvl="1">
      <w:start w:val="1"/>
      <w:numFmt w:val="decimal"/>
      <w:lvlText w:val="%1.%2."/>
      <w:lvlJc w:val="left"/>
      <w:pPr>
        <w:ind w:left="833" w:hanging="401"/>
        <w:jc w:val="left"/>
      </w:pPr>
      <w:rPr>
        <w:rFonts w:ascii="Times New Roman" w:eastAsia="Times New Roman" w:hAnsi="Times New Roman" w:cs="Times New Roman" w:hint="default"/>
        <w:color w:val="231F20"/>
        <w:w w:val="100"/>
        <w:sz w:val="24"/>
        <w:szCs w:val="24"/>
        <w:lang w:val="es-ES" w:eastAsia="es-ES" w:bidi="es-ES"/>
      </w:rPr>
    </w:lvl>
    <w:lvl w:ilvl="2">
      <w:numFmt w:val="bullet"/>
      <w:lvlText w:val="•"/>
      <w:lvlJc w:val="left"/>
      <w:pPr>
        <w:ind w:left="1298" w:hanging="401"/>
      </w:pPr>
      <w:rPr>
        <w:rFonts w:hint="default"/>
        <w:lang w:val="es-ES" w:eastAsia="es-ES" w:bidi="es-ES"/>
      </w:rPr>
    </w:lvl>
    <w:lvl w:ilvl="3">
      <w:numFmt w:val="bullet"/>
      <w:lvlText w:val="•"/>
      <w:lvlJc w:val="left"/>
      <w:pPr>
        <w:ind w:left="1756" w:hanging="401"/>
      </w:pPr>
      <w:rPr>
        <w:rFonts w:hint="default"/>
        <w:lang w:val="es-ES" w:eastAsia="es-ES" w:bidi="es-ES"/>
      </w:rPr>
    </w:lvl>
    <w:lvl w:ilvl="4">
      <w:numFmt w:val="bullet"/>
      <w:lvlText w:val="•"/>
      <w:lvlJc w:val="left"/>
      <w:pPr>
        <w:ind w:left="2215" w:hanging="401"/>
      </w:pPr>
      <w:rPr>
        <w:rFonts w:hint="default"/>
        <w:lang w:val="es-ES" w:eastAsia="es-ES" w:bidi="es-ES"/>
      </w:rPr>
    </w:lvl>
    <w:lvl w:ilvl="5">
      <w:numFmt w:val="bullet"/>
      <w:lvlText w:val="•"/>
      <w:lvlJc w:val="left"/>
      <w:pPr>
        <w:ind w:left="2673" w:hanging="401"/>
      </w:pPr>
      <w:rPr>
        <w:rFonts w:hint="default"/>
        <w:lang w:val="es-ES" w:eastAsia="es-ES" w:bidi="es-ES"/>
      </w:rPr>
    </w:lvl>
    <w:lvl w:ilvl="6">
      <w:numFmt w:val="bullet"/>
      <w:lvlText w:val="•"/>
      <w:lvlJc w:val="left"/>
      <w:pPr>
        <w:ind w:left="3131" w:hanging="401"/>
      </w:pPr>
      <w:rPr>
        <w:rFonts w:hint="default"/>
        <w:lang w:val="es-ES" w:eastAsia="es-ES" w:bidi="es-ES"/>
      </w:rPr>
    </w:lvl>
    <w:lvl w:ilvl="7">
      <w:numFmt w:val="bullet"/>
      <w:lvlText w:val="•"/>
      <w:lvlJc w:val="left"/>
      <w:pPr>
        <w:ind w:left="3590" w:hanging="401"/>
      </w:pPr>
      <w:rPr>
        <w:rFonts w:hint="default"/>
        <w:lang w:val="es-ES" w:eastAsia="es-ES" w:bidi="es-ES"/>
      </w:rPr>
    </w:lvl>
    <w:lvl w:ilvl="8">
      <w:numFmt w:val="bullet"/>
      <w:lvlText w:val="•"/>
      <w:lvlJc w:val="left"/>
      <w:pPr>
        <w:ind w:left="4048" w:hanging="401"/>
      </w:pPr>
      <w:rPr>
        <w:rFonts w:hint="default"/>
        <w:lang w:val="es-ES" w:eastAsia="es-ES" w:bidi="es-ES"/>
      </w:rPr>
    </w:lvl>
  </w:abstractNum>
  <w:abstractNum w:abstractNumId="33" w15:restartNumberingAfterBreak="0">
    <w:nsid w:val="62842E12"/>
    <w:multiLevelType w:val="hybridMultilevel"/>
    <w:tmpl w:val="415A98D4"/>
    <w:lvl w:ilvl="0" w:tplc="8FD8FE4A">
      <w:start w:val="1"/>
      <w:numFmt w:val="lowerLetter"/>
      <w:lvlText w:val="%1)"/>
      <w:lvlJc w:val="left"/>
      <w:pPr>
        <w:ind w:left="56" w:hanging="224"/>
        <w:jc w:val="left"/>
      </w:pPr>
      <w:rPr>
        <w:rFonts w:ascii="Times New Roman" w:eastAsia="Times New Roman" w:hAnsi="Times New Roman" w:cs="Times New Roman" w:hint="default"/>
        <w:w w:val="100"/>
        <w:sz w:val="20"/>
        <w:szCs w:val="20"/>
        <w:lang w:val="es-ES" w:eastAsia="es-ES" w:bidi="es-ES"/>
      </w:rPr>
    </w:lvl>
    <w:lvl w:ilvl="1" w:tplc="2132DC84">
      <w:numFmt w:val="bullet"/>
      <w:lvlText w:val="•"/>
      <w:lvlJc w:val="left"/>
      <w:pPr>
        <w:ind w:left="384" w:hanging="224"/>
      </w:pPr>
      <w:rPr>
        <w:rFonts w:hint="default"/>
        <w:lang w:val="es-ES" w:eastAsia="es-ES" w:bidi="es-ES"/>
      </w:rPr>
    </w:lvl>
    <w:lvl w:ilvl="2" w:tplc="77C681E2">
      <w:numFmt w:val="bullet"/>
      <w:lvlText w:val="•"/>
      <w:lvlJc w:val="left"/>
      <w:pPr>
        <w:ind w:left="708" w:hanging="224"/>
      </w:pPr>
      <w:rPr>
        <w:rFonts w:hint="default"/>
        <w:lang w:val="es-ES" w:eastAsia="es-ES" w:bidi="es-ES"/>
      </w:rPr>
    </w:lvl>
    <w:lvl w:ilvl="3" w:tplc="5DBA1BE4">
      <w:numFmt w:val="bullet"/>
      <w:lvlText w:val="•"/>
      <w:lvlJc w:val="left"/>
      <w:pPr>
        <w:ind w:left="1032" w:hanging="224"/>
      </w:pPr>
      <w:rPr>
        <w:rFonts w:hint="default"/>
        <w:lang w:val="es-ES" w:eastAsia="es-ES" w:bidi="es-ES"/>
      </w:rPr>
    </w:lvl>
    <w:lvl w:ilvl="4" w:tplc="5ADE7948">
      <w:numFmt w:val="bullet"/>
      <w:lvlText w:val="•"/>
      <w:lvlJc w:val="left"/>
      <w:pPr>
        <w:ind w:left="1356" w:hanging="224"/>
      </w:pPr>
      <w:rPr>
        <w:rFonts w:hint="default"/>
        <w:lang w:val="es-ES" w:eastAsia="es-ES" w:bidi="es-ES"/>
      </w:rPr>
    </w:lvl>
    <w:lvl w:ilvl="5" w:tplc="2AA6837E">
      <w:numFmt w:val="bullet"/>
      <w:lvlText w:val="•"/>
      <w:lvlJc w:val="left"/>
      <w:pPr>
        <w:ind w:left="1680" w:hanging="224"/>
      </w:pPr>
      <w:rPr>
        <w:rFonts w:hint="default"/>
        <w:lang w:val="es-ES" w:eastAsia="es-ES" w:bidi="es-ES"/>
      </w:rPr>
    </w:lvl>
    <w:lvl w:ilvl="6" w:tplc="ED846AA2">
      <w:numFmt w:val="bullet"/>
      <w:lvlText w:val="•"/>
      <w:lvlJc w:val="left"/>
      <w:pPr>
        <w:ind w:left="2004" w:hanging="224"/>
      </w:pPr>
      <w:rPr>
        <w:rFonts w:hint="default"/>
        <w:lang w:val="es-ES" w:eastAsia="es-ES" w:bidi="es-ES"/>
      </w:rPr>
    </w:lvl>
    <w:lvl w:ilvl="7" w:tplc="519894FC">
      <w:numFmt w:val="bullet"/>
      <w:lvlText w:val="•"/>
      <w:lvlJc w:val="left"/>
      <w:pPr>
        <w:ind w:left="2328" w:hanging="224"/>
      </w:pPr>
      <w:rPr>
        <w:rFonts w:hint="default"/>
        <w:lang w:val="es-ES" w:eastAsia="es-ES" w:bidi="es-ES"/>
      </w:rPr>
    </w:lvl>
    <w:lvl w:ilvl="8" w:tplc="1016898C">
      <w:numFmt w:val="bullet"/>
      <w:lvlText w:val="•"/>
      <w:lvlJc w:val="left"/>
      <w:pPr>
        <w:ind w:left="2652" w:hanging="224"/>
      </w:pPr>
      <w:rPr>
        <w:rFonts w:hint="default"/>
        <w:lang w:val="es-ES" w:eastAsia="es-ES" w:bidi="es-ES"/>
      </w:rPr>
    </w:lvl>
  </w:abstractNum>
  <w:abstractNum w:abstractNumId="34" w15:restartNumberingAfterBreak="0">
    <w:nsid w:val="63CD68F3"/>
    <w:multiLevelType w:val="hybridMultilevel"/>
    <w:tmpl w:val="F6FA883C"/>
    <w:lvl w:ilvl="0" w:tplc="D22682B2">
      <w:start w:val="1"/>
      <w:numFmt w:val="decimal"/>
      <w:lvlText w:val="%1"/>
      <w:lvlJc w:val="left"/>
      <w:pPr>
        <w:ind w:left="437" w:hanging="284"/>
        <w:jc w:val="left"/>
      </w:pPr>
      <w:rPr>
        <w:rFonts w:ascii="Times New Roman" w:eastAsia="Times New Roman" w:hAnsi="Times New Roman" w:cs="Times New Roman" w:hint="default"/>
        <w:color w:val="58595B"/>
        <w:spacing w:val="-14"/>
        <w:w w:val="99"/>
        <w:position w:val="7"/>
        <w:sz w:val="16"/>
        <w:szCs w:val="16"/>
        <w:lang w:val="es-ES" w:eastAsia="es-ES" w:bidi="es-ES"/>
      </w:rPr>
    </w:lvl>
    <w:lvl w:ilvl="1" w:tplc="6840BD68">
      <w:numFmt w:val="bullet"/>
      <w:lvlText w:val="•"/>
      <w:lvlJc w:val="left"/>
      <w:pPr>
        <w:ind w:left="904" w:hanging="284"/>
      </w:pPr>
      <w:rPr>
        <w:rFonts w:hint="default"/>
        <w:lang w:val="es-ES" w:eastAsia="es-ES" w:bidi="es-ES"/>
      </w:rPr>
    </w:lvl>
    <w:lvl w:ilvl="2" w:tplc="DFE6F5E2">
      <w:numFmt w:val="bullet"/>
      <w:lvlText w:val="•"/>
      <w:lvlJc w:val="left"/>
      <w:pPr>
        <w:ind w:left="1369" w:hanging="284"/>
      </w:pPr>
      <w:rPr>
        <w:rFonts w:hint="default"/>
        <w:lang w:val="es-ES" w:eastAsia="es-ES" w:bidi="es-ES"/>
      </w:rPr>
    </w:lvl>
    <w:lvl w:ilvl="3" w:tplc="7E6EB77C">
      <w:numFmt w:val="bullet"/>
      <w:lvlText w:val="•"/>
      <w:lvlJc w:val="left"/>
      <w:pPr>
        <w:ind w:left="1833" w:hanging="284"/>
      </w:pPr>
      <w:rPr>
        <w:rFonts w:hint="default"/>
        <w:lang w:val="es-ES" w:eastAsia="es-ES" w:bidi="es-ES"/>
      </w:rPr>
    </w:lvl>
    <w:lvl w:ilvl="4" w:tplc="A6767196">
      <w:numFmt w:val="bullet"/>
      <w:lvlText w:val="•"/>
      <w:lvlJc w:val="left"/>
      <w:pPr>
        <w:ind w:left="2298" w:hanging="284"/>
      </w:pPr>
      <w:rPr>
        <w:rFonts w:hint="default"/>
        <w:lang w:val="es-ES" w:eastAsia="es-ES" w:bidi="es-ES"/>
      </w:rPr>
    </w:lvl>
    <w:lvl w:ilvl="5" w:tplc="F7D078C6">
      <w:numFmt w:val="bullet"/>
      <w:lvlText w:val="•"/>
      <w:lvlJc w:val="left"/>
      <w:pPr>
        <w:ind w:left="2763" w:hanging="284"/>
      </w:pPr>
      <w:rPr>
        <w:rFonts w:hint="default"/>
        <w:lang w:val="es-ES" w:eastAsia="es-ES" w:bidi="es-ES"/>
      </w:rPr>
    </w:lvl>
    <w:lvl w:ilvl="6" w:tplc="B74C749C">
      <w:numFmt w:val="bullet"/>
      <w:lvlText w:val="•"/>
      <w:lvlJc w:val="left"/>
      <w:pPr>
        <w:ind w:left="3227" w:hanging="284"/>
      </w:pPr>
      <w:rPr>
        <w:rFonts w:hint="default"/>
        <w:lang w:val="es-ES" w:eastAsia="es-ES" w:bidi="es-ES"/>
      </w:rPr>
    </w:lvl>
    <w:lvl w:ilvl="7" w:tplc="16DA0B54">
      <w:numFmt w:val="bullet"/>
      <w:lvlText w:val="•"/>
      <w:lvlJc w:val="left"/>
      <w:pPr>
        <w:ind w:left="3692" w:hanging="284"/>
      </w:pPr>
      <w:rPr>
        <w:rFonts w:hint="default"/>
        <w:lang w:val="es-ES" w:eastAsia="es-ES" w:bidi="es-ES"/>
      </w:rPr>
    </w:lvl>
    <w:lvl w:ilvl="8" w:tplc="08564754">
      <w:numFmt w:val="bullet"/>
      <w:lvlText w:val="•"/>
      <w:lvlJc w:val="left"/>
      <w:pPr>
        <w:ind w:left="4157" w:hanging="284"/>
      </w:pPr>
      <w:rPr>
        <w:rFonts w:hint="default"/>
        <w:lang w:val="es-ES" w:eastAsia="es-ES" w:bidi="es-ES"/>
      </w:rPr>
    </w:lvl>
  </w:abstractNum>
  <w:abstractNum w:abstractNumId="35" w15:restartNumberingAfterBreak="0">
    <w:nsid w:val="69F770A3"/>
    <w:multiLevelType w:val="hybridMultilevel"/>
    <w:tmpl w:val="E0AA9EA2"/>
    <w:lvl w:ilvl="0" w:tplc="17EE7D4E">
      <w:start w:val="1"/>
      <w:numFmt w:val="lowerLetter"/>
      <w:lvlText w:val="%1)"/>
      <w:lvlJc w:val="left"/>
      <w:pPr>
        <w:ind w:left="873" w:hanging="437"/>
        <w:jc w:val="left"/>
      </w:pPr>
      <w:rPr>
        <w:rFonts w:ascii="Times New Roman" w:eastAsia="Times New Roman" w:hAnsi="Times New Roman" w:cs="Times New Roman" w:hint="default"/>
        <w:b/>
        <w:bCs/>
        <w:w w:val="99"/>
        <w:sz w:val="24"/>
        <w:szCs w:val="24"/>
        <w:lang w:val="es-ES" w:eastAsia="es-ES" w:bidi="es-ES"/>
      </w:rPr>
    </w:lvl>
    <w:lvl w:ilvl="1" w:tplc="820A5736">
      <w:numFmt w:val="bullet"/>
      <w:lvlText w:val="•"/>
      <w:lvlJc w:val="left"/>
      <w:pPr>
        <w:ind w:left="1810" w:hanging="437"/>
      </w:pPr>
      <w:rPr>
        <w:rFonts w:hint="default"/>
        <w:lang w:val="es-ES" w:eastAsia="es-ES" w:bidi="es-ES"/>
      </w:rPr>
    </w:lvl>
    <w:lvl w:ilvl="2" w:tplc="49A47500">
      <w:numFmt w:val="bullet"/>
      <w:lvlText w:val="•"/>
      <w:lvlJc w:val="left"/>
      <w:pPr>
        <w:ind w:left="2741" w:hanging="437"/>
      </w:pPr>
      <w:rPr>
        <w:rFonts w:hint="default"/>
        <w:lang w:val="es-ES" w:eastAsia="es-ES" w:bidi="es-ES"/>
      </w:rPr>
    </w:lvl>
    <w:lvl w:ilvl="3" w:tplc="07E07238">
      <w:numFmt w:val="bullet"/>
      <w:lvlText w:val="•"/>
      <w:lvlJc w:val="left"/>
      <w:pPr>
        <w:ind w:left="3672" w:hanging="437"/>
      </w:pPr>
      <w:rPr>
        <w:rFonts w:hint="default"/>
        <w:lang w:val="es-ES" w:eastAsia="es-ES" w:bidi="es-ES"/>
      </w:rPr>
    </w:lvl>
    <w:lvl w:ilvl="4" w:tplc="313048AA">
      <w:numFmt w:val="bullet"/>
      <w:lvlText w:val="•"/>
      <w:lvlJc w:val="left"/>
      <w:pPr>
        <w:ind w:left="4603" w:hanging="437"/>
      </w:pPr>
      <w:rPr>
        <w:rFonts w:hint="default"/>
        <w:lang w:val="es-ES" w:eastAsia="es-ES" w:bidi="es-ES"/>
      </w:rPr>
    </w:lvl>
    <w:lvl w:ilvl="5" w:tplc="1BBECE6E">
      <w:numFmt w:val="bullet"/>
      <w:lvlText w:val="•"/>
      <w:lvlJc w:val="left"/>
      <w:pPr>
        <w:ind w:left="5534" w:hanging="437"/>
      </w:pPr>
      <w:rPr>
        <w:rFonts w:hint="default"/>
        <w:lang w:val="es-ES" w:eastAsia="es-ES" w:bidi="es-ES"/>
      </w:rPr>
    </w:lvl>
    <w:lvl w:ilvl="6" w:tplc="CBCCF712">
      <w:numFmt w:val="bullet"/>
      <w:lvlText w:val="•"/>
      <w:lvlJc w:val="left"/>
      <w:pPr>
        <w:ind w:left="6465" w:hanging="437"/>
      </w:pPr>
      <w:rPr>
        <w:rFonts w:hint="default"/>
        <w:lang w:val="es-ES" w:eastAsia="es-ES" w:bidi="es-ES"/>
      </w:rPr>
    </w:lvl>
    <w:lvl w:ilvl="7" w:tplc="275E9B94">
      <w:numFmt w:val="bullet"/>
      <w:lvlText w:val="•"/>
      <w:lvlJc w:val="left"/>
      <w:pPr>
        <w:ind w:left="7396" w:hanging="437"/>
      </w:pPr>
      <w:rPr>
        <w:rFonts w:hint="default"/>
        <w:lang w:val="es-ES" w:eastAsia="es-ES" w:bidi="es-ES"/>
      </w:rPr>
    </w:lvl>
    <w:lvl w:ilvl="8" w:tplc="28EC3512">
      <w:numFmt w:val="bullet"/>
      <w:lvlText w:val="•"/>
      <w:lvlJc w:val="left"/>
      <w:pPr>
        <w:ind w:left="8327" w:hanging="437"/>
      </w:pPr>
      <w:rPr>
        <w:rFonts w:hint="default"/>
        <w:lang w:val="es-ES" w:eastAsia="es-ES" w:bidi="es-ES"/>
      </w:rPr>
    </w:lvl>
  </w:abstractNum>
  <w:abstractNum w:abstractNumId="36" w15:restartNumberingAfterBreak="0">
    <w:nsid w:val="6D081F36"/>
    <w:multiLevelType w:val="hybridMultilevel"/>
    <w:tmpl w:val="8FEA980E"/>
    <w:lvl w:ilvl="0" w:tplc="F3E43452">
      <w:start w:val="1"/>
      <w:numFmt w:val="decimal"/>
      <w:lvlText w:val="%1."/>
      <w:lvlJc w:val="left"/>
      <w:pPr>
        <w:ind w:left="821" w:hanging="360"/>
      </w:pPr>
      <w:rPr>
        <w:rFonts w:ascii="Times New Roman" w:eastAsia="Times New Roman" w:hAnsi="Times New Roman" w:cs="Times New Roman" w:hint="default"/>
        <w:b/>
        <w:bCs/>
        <w:spacing w:val="-2"/>
        <w:w w:val="99"/>
        <w:sz w:val="24"/>
        <w:szCs w:val="24"/>
        <w:lang w:val="es-ES" w:eastAsia="es-ES" w:bidi="es-ES"/>
      </w:rPr>
    </w:lvl>
    <w:lvl w:ilvl="1" w:tplc="9CF4D7EA">
      <w:numFmt w:val="bullet"/>
      <w:lvlText w:val="•"/>
      <w:lvlJc w:val="left"/>
      <w:pPr>
        <w:ind w:left="1644" w:hanging="360"/>
      </w:pPr>
      <w:rPr>
        <w:rFonts w:hint="default"/>
        <w:lang w:val="es-ES" w:eastAsia="es-ES" w:bidi="es-ES"/>
      </w:rPr>
    </w:lvl>
    <w:lvl w:ilvl="2" w:tplc="E1FE8774">
      <w:numFmt w:val="bullet"/>
      <w:lvlText w:val="•"/>
      <w:lvlJc w:val="left"/>
      <w:pPr>
        <w:ind w:left="2468" w:hanging="360"/>
      </w:pPr>
      <w:rPr>
        <w:rFonts w:hint="default"/>
        <w:lang w:val="es-ES" w:eastAsia="es-ES" w:bidi="es-ES"/>
      </w:rPr>
    </w:lvl>
    <w:lvl w:ilvl="3" w:tplc="CF520E8C">
      <w:numFmt w:val="bullet"/>
      <w:lvlText w:val="•"/>
      <w:lvlJc w:val="left"/>
      <w:pPr>
        <w:ind w:left="3292" w:hanging="360"/>
      </w:pPr>
      <w:rPr>
        <w:rFonts w:hint="default"/>
        <w:lang w:val="es-ES" w:eastAsia="es-ES" w:bidi="es-ES"/>
      </w:rPr>
    </w:lvl>
    <w:lvl w:ilvl="4" w:tplc="590480F6">
      <w:numFmt w:val="bullet"/>
      <w:lvlText w:val="•"/>
      <w:lvlJc w:val="left"/>
      <w:pPr>
        <w:ind w:left="4116" w:hanging="360"/>
      </w:pPr>
      <w:rPr>
        <w:rFonts w:hint="default"/>
        <w:lang w:val="es-ES" w:eastAsia="es-ES" w:bidi="es-ES"/>
      </w:rPr>
    </w:lvl>
    <w:lvl w:ilvl="5" w:tplc="F40ACC40">
      <w:numFmt w:val="bullet"/>
      <w:lvlText w:val="•"/>
      <w:lvlJc w:val="left"/>
      <w:pPr>
        <w:ind w:left="4940" w:hanging="360"/>
      </w:pPr>
      <w:rPr>
        <w:rFonts w:hint="default"/>
        <w:lang w:val="es-ES" w:eastAsia="es-ES" w:bidi="es-ES"/>
      </w:rPr>
    </w:lvl>
    <w:lvl w:ilvl="6" w:tplc="49E8B346">
      <w:numFmt w:val="bullet"/>
      <w:lvlText w:val="•"/>
      <w:lvlJc w:val="left"/>
      <w:pPr>
        <w:ind w:left="5764" w:hanging="360"/>
      </w:pPr>
      <w:rPr>
        <w:rFonts w:hint="default"/>
        <w:lang w:val="es-ES" w:eastAsia="es-ES" w:bidi="es-ES"/>
      </w:rPr>
    </w:lvl>
    <w:lvl w:ilvl="7" w:tplc="FD380414">
      <w:numFmt w:val="bullet"/>
      <w:lvlText w:val="•"/>
      <w:lvlJc w:val="left"/>
      <w:pPr>
        <w:ind w:left="6588" w:hanging="360"/>
      </w:pPr>
      <w:rPr>
        <w:rFonts w:hint="default"/>
        <w:lang w:val="es-ES" w:eastAsia="es-ES" w:bidi="es-ES"/>
      </w:rPr>
    </w:lvl>
    <w:lvl w:ilvl="8" w:tplc="C5FE1720">
      <w:numFmt w:val="bullet"/>
      <w:lvlText w:val="•"/>
      <w:lvlJc w:val="left"/>
      <w:pPr>
        <w:ind w:left="7412" w:hanging="360"/>
      </w:pPr>
      <w:rPr>
        <w:rFonts w:hint="default"/>
        <w:lang w:val="es-ES" w:eastAsia="es-ES" w:bidi="es-ES"/>
      </w:rPr>
    </w:lvl>
  </w:abstractNum>
  <w:abstractNum w:abstractNumId="37" w15:restartNumberingAfterBreak="0">
    <w:nsid w:val="6E197254"/>
    <w:multiLevelType w:val="hybridMultilevel"/>
    <w:tmpl w:val="99C0DA9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0A6CF3"/>
    <w:multiLevelType w:val="hybridMultilevel"/>
    <w:tmpl w:val="CF5EEEFC"/>
    <w:lvl w:ilvl="0" w:tplc="C0506EEC">
      <w:numFmt w:val="bullet"/>
      <w:lvlText w:val="-"/>
      <w:lvlJc w:val="left"/>
      <w:pPr>
        <w:ind w:left="833" w:hanging="401"/>
      </w:pPr>
      <w:rPr>
        <w:rFonts w:ascii="Times New Roman" w:eastAsia="Times New Roman" w:hAnsi="Times New Roman" w:cs="Times New Roman" w:hint="default"/>
        <w:color w:val="231F20"/>
        <w:spacing w:val="-29"/>
        <w:w w:val="99"/>
        <w:sz w:val="24"/>
        <w:szCs w:val="24"/>
        <w:lang w:val="es-ES" w:eastAsia="es-ES" w:bidi="es-ES"/>
      </w:rPr>
    </w:lvl>
    <w:lvl w:ilvl="1" w:tplc="B43C17CC">
      <w:numFmt w:val="bullet"/>
      <w:lvlText w:val="•"/>
      <w:lvlJc w:val="left"/>
      <w:pPr>
        <w:ind w:left="1252" w:hanging="401"/>
      </w:pPr>
      <w:rPr>
        <w:rFonts w:hint="default"/>
        <w:lang w:val="es-ES" w:eastAsia="es-ES" w:bidi="es-ES"/>
      </w:rPr>
    </w:lvl>
    <w:lvl w:ilvl="2" w:tplc="670825EE">
      <w:numFmt w:val="bullet"/>
      <w:lvlText w:val="•"/>
      <w:lvlJc w:val="left"/>
      <w:pPr>
        <w:ind w:left="1665" w:hanging="401"/>
      </w:pPr>
      <w:rPr>
        <w:rFonts w:hint="default"/>
        <w:lang w:val="es-ES" w:eastAsia="es-ES" w:bidi="es-ES"/>
      </w:rPr>
    </w:lvl>
    <w:lvl w:ilvl="3" w:tplc="670254E4">
      <w:numFmt w:val="bullet"/>
      <w:lvlText w:val="•"/>
      <w:lvlJc w:val="left"/>
      <w:pPr>
        <w:ind w:left="2077" w:hanging="401"/>
      </w:pPr>
      <w:rPr>
        <w:rFonts w:hint="default"/>
        <w:lang w:val="es-ES" w:eastAsia="es-ES" w:bidi="es-ES"/>
      </w:rPr>
    </w:lvl>
    <w:lvl w:ilvl="4" w:tplc="366A12A2">
      <w:numFmt w:val="bullet"/>
      <w:lvlText w:val="•"/>
      <w:lvlJc w:val="left"/>
      <w:pPr>
        <w:ind w:left="2490" w:hanging="401"/>
      </w:pPr>
      <w:rPr>
        <w:rFonts w:hint="default"/>
        <w:lang w:val="es-ES" w:eastAsia="es-ES" w:bidi="es-ES"/>
      </w:rPr>
    </w:lvl>
    <w:lvl w:ilvl="5" w:tplc="434A0464">
      <w:numFmt w:val="bullet"/>
      <w:lvlText w:val="•"/>
      <w:lvlJc w:val="left"/>
      <w:pPr>
        <w:ind w:left="2902" w:hanging="401"/>
      </w:pPr>
      <w:rPr>
        <w:rFonts w:hint="default"/>
        <w:lang w:val="es-ES" w:eastAsia="es-ES" w:bidi="es-ES"/>
      </w:rPr>
    </w:lvl>
    <w:lvl w:ilvl="6" w:tplc="DCAEC404">
      <w:numFmt w:val="bullet"/>
      <w:lvlText w:val="•"/>
      <w:lvlJc w:val="left"/>
      <w:pPr>
        <w:ind w:left="3315" w:hanging="401"/>
      </w:pPr>
      <w:rPr>
        <w:rFonts w:hint="default"/>
        <w:lang w:val="es-ES" w:eastAsia="es-ES" w:bidi="es-ES"/>
      </w:rPr>
    </w:lvl>
    <w:lvl w:ilvl="7" w:tplc="4DAC42AE">
      <w:numFmt w:val="bullet"/>
      <w:lvlText w:val="•"/>
      <w:lvlJc w:val="left"/>
      <w:pPr>
        <w:ind w:left="3727" w:hanging="401"/>
      </w:pPr>
      <w:rPr>
        <w:rFonts w:hint="default"/>
        <w:lang w:val="es-ES" w:eastAsia="es-ES" w:bidi="es-ES"/>
      </w:rPr>
    </w:lvl>
    <w:lvl w:ilvl="8" w:tplc="722EE970">
      <w:numFmt w:val="bullet"/>
      <w:lvlText w:val="•"/>
      <w:lvlJc w:val="left"/>
      <w:pPr>
        <w:ind w:left="4140" w:hanging="401"/>
      </w:pPr>
      <w:rPr>
        <w:rFonts w:hint="default"/>
        <w:lang w:val="es-ES" w:eastAsia="es-ES" w:bidi="es-ES"/>
      </w:rPr>
    </w:lvl>
  </w:abstractNum>
  <w:abstractNum w:abstractNumId="40" w15:restartNumberingAfterBreak="0">
    <w:nsid w:val="721E4370"/>
    <w:multiLevelType w:val="hybridMultilevel"/>
    <w:tmpl w:val="B6989B8E"/>
    <w:lvl w:ilvl="0" w:tplc="4424A0C4">
      <w:start w:val="1"/>
      <w:numFmt w:val="lowerLetter"/>
      <w:lvlText w:val="%1)"/>
      <w:lvlJc w:val="left"/>
      <w:pPr>
        <w:ind w:left="56" w:hanging="224"/>
        <w:jc w:val="left"/>
      </w:pPr>
      <w:rPr>
        <w:rFonts w:ascii="Times New Roman" w:eastAsia="Times New Roman" w:hAnsi="Times New Roman" w:cs="Times New Roman" w:hint="default"/>
        <w:w w:val="100"/>
        <w:sz w:val="20"/>
        <w:szCs w:val="20"/>
        <w:lang w:val="es-ES" w:eastAsia="es-ES" w:bidi="es-ES"/>
      </w:rPr>
    </w:lvl>
    <w:lvl w:ilvl="1" w:tplc="068ED904">
      <w:numFmt w:val="bullet"/>
      <w:lvlText w:val="•"/>
      <w:lvlJc w:val="left"/>
      <w:pPr>
        <w:ind w:left="384" w:hanging="224"/>
      </w:pPr>
      <w:rPr>
        <w:rFonts w:hint="default"/>
        <w:lang w:val="es-ES" w:eastAsia="es-ES" w:bidi="es-ES"/>
      </w:rPr>
    </w:lvl>
    <w:lvl w:ilvl="2" w:tplc="2A2E83B6">
      <w:numFmt w:val="bullet"/>
      <w:lvlText w:val="•"/>
      <w:lvlJc w:val="left"/>
      <w:pPr>
        <w:ind w:left="708" w:hanging="224"/>
      </w:pPr>
      <w:rPr>
        <w:rFonts w:hint="default"/>
        <w:lang w:val="es-ES" w:eastAsia="es-ES" w:bidi="es-ES"/>
      </w:rPr>
    </w:lvl>
    <w:lvl w:ilvl="3" w:tplc="455EBD72">
      <w:numFmt w:val="bullet"/>
      <w:lvlText w:val="•"/>
      <w:lvlJc w:val="left"/>
      <w:pPr>
        <w:ind w:left="1032" w:hanging="224"/>
      </w:pPr>
      <w:rPr>
        <w:rFonts w:hint="default"/>
        <w:lang w:val="es-ES" w:eastAsia="es-ES" w:bidi="es-ES"/>
      </w:rPr>
    </w:lvl>
    <w:lvl w:ilvl="4" w:tplc="60AC3C70">
      <w:numFmt w:val="bullet"/>
      <w:lvlText w:val="•"/>
      <w:lvlJc w:val="left"/>
      <w:pPr>
        <w:ind w:left="1356" w:hanging="224"/>
      </w:pPr>
      <w:rPr>
        <w:rFonts w:hint="default"/>
        <w:lang w:val="es-ES" w:eastAsia="es-ES" w:bidi="es-ES"/>
      </w:rPr>
    </w:lvl>
    <w:lvl w:ilvl="5" w:tplc="FCD633C6">
      <w:numFmt w:val="bullet"/>
      <w:lvlText w:val="•"/>
      <w:lvlJc w:val="left"/>
      <w:pPr>
        <w:ind w:left="1680" w:hanging="224"/>
      </w:pPr>
      <w:rPr>
        <w:rFonts w:hint="default"/>
        <w:lang w:val="es-ES" w:eastAsia="es-ES" w:bidi="es-ES"/>
      </w:rPr>
    </w:lvl>
    <w:lvl w:ilvl="6" w:tplc="842C2272">
      <w:numFmt w:val="bullet"/>
      <w:lvlText w:val="•"/>
      <w:lvlJc w:val="left"/>
      <w:pPr>
        <w:ind w:left="2004" w:hanging="224"/>
      </w:pPr>
      <w:rPr>
        <w:rFonts w:hint="default"/>
        <w:lang w:val="es-ES" w:eastAsia="es-ES" w:bidi="es-ES"/>
      </w:rPr>
    </w:lvl>
    <w:lvl w:ilvl="7" w:tplc="D294FE40">
      <w:numFmt w:val="bullet"/>
      <w:lvlText w:val="•"/>
      <w:lvlJc w:val="left"/>
      <w:pPr>
        <w:ind w:left="2328" w:hanging="224"/>
      </w:pPr>
      <w:rPr>
        <w:rFonts w:hint="default"/>
        <w:lang w:val="es-ES" w:eastAsia="es-ES" w:bidi="es-ES"/>
      </w:rPr>
    </w:lvl>
    <w:lvl w:ilvl="8" w:tplc="74488756">
      <w:numFmt w:val="bullet"/>
      <w:lvlText w:val="•"/>
      <w:lvlJc w:val="left"/>
      <w:pPr>
        <w:ind w:left="2652" w:hanging="224"/>
      </w:pPr>
      <w:rPr>
        <w:rFonts w:hint="default"/>
        <w:lang w:val="es-ES" w:eastAsia="es-ES" w:bidi="es-ES"/>
      </w:rPr>
    </w:lvl>
  </w:abstractNum>
  <w:abstractNum w:abstractNumId="41" w15:restartNumberingAfterBreak="0">
    <w:nsid w:val="73427A0E"/>
    <w:multiLevelType w:val="hybridMultilevel"/>
    <w:tmpl w:val="9B884524"/>
    <w:lvl w:ilvl="0" w:tplc="CB7E1E00">
      <w:start w:val="1"/>
      <w:numFmt w:val="lowerLetter"/>
      <w:lvlText w:val="%1)"/>
      <w:lvlJc w:val="left"/>
      <w:pPr>
        <w:ind w:left="833" w:hanging="400"/>
        <w:jc w:val="left"/>
      </w:pPr>
      <w:rPr>
        <w:rFonts w:hint="default"/>
        <w:b/>
        <w:bCs/>
        <w:spacing w:val="-18"/>
        <w:w w:val="99"/>
        <w:lang w:val="es-ES" w:eastAsia="es-ES" w:bidi="es-ES"/>
      </w:rPr>
    </w:lvl>
    <w:lvl w:ilvl="1" w:tplc="5D34EB82">
      <w:numFmt w:val="bullet"/>
      <w:lvlText w:val="•"/>
      <w:lvlJc w:val="left"/>
      <w:pPr>
        <w:ind w:left="1252" w:hanging="400"/>
      </w:pPr>
      <w:rPr>
        <w:rFonts w:hint="default"/>
        <w:lang w:val="es-ES" w:eastAsia="es-ES" w:bidi="es-ES"/>
      </w:rPr>
    </w:lvl>
    <w:lvl w:ilvl="2" w:tplc="848A2350">
      <w:numFmt w:val="bullet"/>
      <w:lvlText w:val="•"/>
      <w:lvlJc w:val="left"/>
      <w:pPr>
        <w:ind w:left="1665" w:hanging="400"/>
      </w:pPr>
      <w:rPr>
        <w:rFonts w:hint="default"/>
        <w:lang w:val="es-ES" w:eastAsia="es-ES" w:bidi="es-ES"/>
      </w:rPr>
    </w:lvl>
    <w:lvl w:ilvl="3" w:tplc="2CD8A76A">
      <w:numFmt w:val="bullet"/>
      <w:lvlText w:val="•"/>
      <w:lvlJc w:val="left"/>
      <w:pPr>
        <w:ind w:left="2078" w:hanging="400"/>
      </w:pPr>
      <w:rPr>
        <w:rFonts w:hint="default"/>
        <w:lang w:val="es-ES" w:eastAsia="es-ES" w:bidi="es-ES"/>
      </w:rPr>
    </w:lvl>
    <w:lvl w:ilvl="4" w:tplc="2B7A2DFE">
      <w:numFmt w:val="bullet"/>
      <w:lvlText w:val="•"/>
      <w:lvlJc w:val="left"/>
      <w:pPr>
        <w:ind w:left="2490" w:hanging="400"/>
      </w:pPr>
      <w:rPr>
        <w:rFonts w:hint="default"/>
        <w:lang w:val="es-ES" w:eastAsia="es-ES" w:bidi="es-ES"/>
      </w:rPr>
    </w:lvl>
    <w:lvl w:ilvl="5" w:tplc="C64AA67C">
      <w:numFmt w:val="bullet"/>
      <w:lvlText w:val="•"/>
      <w:lvlJc w:val="left"/>
      <w:pPr>
        <w:ind w:left="2903" w:hanging="400"/>
      </w:pPr>
      <w:rPr>
        <w:rFonts w:hint="default"/>
        <w:lang w:val="es-ES" w:eastAsia="es-ES" w:bidi="es-ES"/>
      </w:rPr>
    </w:lvl>
    <w:lvl w:ilvl="6" w:tplc="705C0C00">
      <w:numFmt w:val="bullet"/>
      <w:lvlText w:val="•"/>
      <w:lvlJc w:val="left"/>
      <w:pPr>
        <w:ind w:left="3316" w:hanging="400"/>
      </w:pPr>
      <w:rPr>
        <w:rFonts w:hint="default"/>
        <w:lang w:val="es-ES" w:eastAsia="es-ES" w:bidi="es-ES"/>
      </w:rPr>
    </w:lvl>
    <w:lvl w:ilvl="7" w:tplc="9B72D794">
      <w:numFmt w:val="bullet"/>
      <w:lvlText w:val="•"/>
      <w:lvlJc w:val="left"/>
      <w:pPr>
        <w:ind w:left="3729" w:hanging="400"/>
      </w:pPr>
      <w:rPr>
        <w:rFonts w:hint="default"/>
        <w:lang w:val="es-ES" w:eastAsia="es-ES" w:bidi="es-ES"/>
      </w:rPr>
    </w:lvl>
    <w:lvl w:ilvl="8" w:tplc="F7981990">
      <w:numFmt w:val="bullet"/>
      <w:lvlText w:val="•"/>
      <w:lvlJc w:val="left"/>
      <w:pPr>
        <w:ind w:left="4141" w:hanging="400"/>
      </w:pPr>
      <w:rPr>
        <w:rFonts w:hint="default"/>
        <w:lang w:val="es-ES" w:eastAsia="es-ES" w:bidi="es-ES"/>
      </w:rPr>
    </w:lvl>
  </w:abstractNum>
  <w:abstractNum w:abstractNumId="42" w15:restartNumberingAfterBreak="0">
    <w:nsid w:val="750A5860"/>
    <w:multiLevelType w:val="hybridMultilevel"/>
    <w:tmpl w:val="2C80A34E"/>
    <w:lvl w:ilvl="0" w:tplc="909654F0">
      <w:start w:val="1"/>
      <w:numFmt w:val="lowerLetter"/>
      <w:lvlText w:val="%1)"/>
      <w:lvlJc w:val="left"/>
      <w:pPr>
        <w:ind w:left="833" w:hanging="400"/>
        <w:jc w:val="left"/>
      </w:pPr>
      <w:rPr>
        <w:rFonts w:hint="default"/>
        <w:spacing w:val="-26"/>
        <w:w w:val="99"/>
        <w:lang w:val="es-ES" w:eastAsia="es-ES" w:bidi="es-ES"/>
      </w:rPr>
    </w:lvl>
    <w:lvl w:ilvl="1" w:tplc="FF92241E">
      <w:numFmt w:val="bullet"/>
      <w:lvlText w:val="•"/>
      <w:lvlJc w:val="left"/>
      <w:pPr>
        <w:ind w:left="1252" w:hanging="400"/>
      </w:pPr>
      <w:rPr>
        <w:rFonts w:hint="default"/>
        <w:lang w:val="es-ES" w:eastAsia="es-ES" w:bidi="es-ES"/>
      </w:rPr>
    </w:lvl>
    <w:lvl w:ilvl="2" w:tplc="DC9E294E">
      <w:numFmt w:val="bullet"/>
      <w:lvlText w:val="•"/>
      <w:lvlJc w:val="left"/>
      <w:pPr>
        <w:ind w:left="1665" w:hanging="400"/>
      </w:pPr>
      <w:rPr>
        <w:rFonts w:hint="default"/>
        <w:lang w:val="es-ES" w:eastAsia="es-ES" w:bidi="es-ES"/>
      </w:rPr>
    </w:lvl>
    <w:lvl w:ilvl="3" w:tplc="FADEDB12">
      <w:numFmt w:val="bullet"/>
      <w:lvlText w:val="•"/>
      <w:lvlJc w:val="left"/>
      <w:pPr>
        <w:ind w:left="2077" w:hanging="400"/>
      </w:pPr>
      <w:rPr>
        <w:rFonts w:hint="default"/>
        <w:lang w:val="es-ES" w:eastAsia="es-ES" w:bidi="es-ES"/>
      </w:rPr>
    </w:lvl>
    <w:lvl w:ilvl="4" w:tplc="E28CDAEE">
      <w:numFmt w:val="bullet"/>
      <w:lvlText w:val="•"/>
      <w:lvlJc w:val="left"/>
      <w:pPr>
        <w:ind w:left="2490" w:hanging="400"/>
      </w:pPr>
      <w:rPr>
        <w:rFonts w:hint="default"/>
        <w:lang w:val="es-ES" w:eastAsia="es-ES" w:bidi="es-ES"/>
      </w:rPr>
    </w:lvl>
    <w:lvl w:ilvl="5" w:tplc="A0D47CA0">
      <w:numFmt w:val="bullet"/>
      <w:lvlText w:val="•"/>
      <w:lvlJc w:val="left"/>
      <w:pPr>
        <w:ind w:left="2903" w:hanging="400"/>
      </w:pPr>
      <w:rPr>
        <w:rFonts w:hint="default"/>
        <w:lang w:val="es-ES" w:eastAsia="es-ES" w:bidi="es-ES"/>
      </w:rPr>
    </w:lvl>
    <w:lvl w:ilvl="6" w:tplc="8C621ADA">
      <w:numFmt w:val="bullet"/>
      <w:lvlText w:val="•"/>
      <w:lvlJc w:val="left"/>
      <w:pPr>
        <w:ind w:left="3315" w:hanging="400"/>
      </w:pPr>
      <w:rPr>
        <w:rFonts w:hint="default"/>
        <w:lang w:val="es-ES" w:eastAsia="es-ES" w:bidi="es-ES"/>
      </w:rPr>
    </w:lvl>
    <w:lvl w:ilvl="7" w:tplc="A1941BE2">
      <w:numFmt w:val="bullet"/>
      <w:lvlText w:val="•"/>
      <w:lvlJc w:val="left"/>
      <w:pPr>
        <w:ind w:left="3728" w:hanging="400"/>
      </w:pPr>
      <w:rPr>
        <w:rFonts w:hint="default"/>
        <w:lang w:val="es-ES" w:eastAsia="es-ES" w:bidi="es-ES"/>
      </w:rPr>
    </w:lvl>
    <w:lvl w:ilvl="8" w:tplc="17EC02A6">
      <w:numFmt w:val="bullet"/>
      <w:lvlText w:val="•"/>
      <w:lvlJc w:val="left"/>
      <w:pPr>
        <w:ind w:left="4140" w:hanging="400"/>
      </w:pPr>
      <w:rPr>
        <w:rFonts w:hint="default"/>
        <w:lang w:val="es-ES" w:eastAsia="es-ES" w:bidi="es-ES"/>
      </w:rPr>
    </w:lvl>
  </w:abstractNum>
  <w:abstractNum w:abstractNumId="43" w15:restartNumberingAfterBreak="0">
    <w:nsid w:val="764E4FF4"/>
    <w:multiLevelType w:val="hybridMultilevel"/>
    <w:tmpl w:val="F2C2C526"/>
    <w:lvl w:ilvl="0" w:tplc="CAA6FEB8">
      <w:start w:val="1"/>
      <w:numFmt w:val="lowerLetter"/>
      <w:lvlText w:val="%1)"/>
      <w:lvlJc w:val="left"/>
      <w:pPr>
        <w:ind w:left="833" w:hanging="400"/>
        <w:jc w:val="left"/>
      </w:pPr>
      <w:rPr>
        <w:rFonts w:ascii="Times New Roman" w:eastAsia="Times New Roman" w:hAnsi="Times New Roman" w:cs="Times New Roman" w:hint="default"/>
        <w:color w:val="231F20"/>
        <w:spacing w:val="-35"/>
        <w:w w:val="98"/>
        <w:sz w:val="23"/>
        <w:szCs w:val="23"/>
        <w:lang w:val="es-ES" w:eastAsia="es-ES" w:bidi="es-ES"/>
      </w:rPr>
    </w:lvl>
    <w:lvl w:ilvl="1" w:tplc="5BD8D8FE">
      <w:numFmt w:val="bullet"/>
      <w:lvlText w:val="•"/>
      <w:lvlJc w:val="left"/>
      <w:pPr>
        <w:ind w:left="1257" w:hanging="400"/>
      </w:pPr>
      <w:rPr>
        <w:rFonts w:hint="default"/>
        <w:lang w:val="es-ES" w:eastAsia="es-ES" w:bidi="es-ES"/>
      </w:rPr>
    </w:lvl>
    <w:lvl w:ilvl="2" w:tplc="3FFAE3A4">
      <w:numFmt w:val="bullet"/>
      <w:lvlText w:val="•"/>
      <w:lvlJc w:val="left"/>
      <w:pPr>
        <w:ind w:left="1674" w:hanging="400"/>
      </w:pPr>
      <w:rPr>
        <w:rFonts w:hint="default"/>
        <w:lang w:val="es-ES" w:eastAsia="es-ES" w:bidi="es-ES"/>
      </w:rPr>
    </w:lvl>
    <w:lvl w:ilvl="3" w:tplc="B8FA02CE">
      <w:numFmt w:val="bullet"/>
      <w:lvlText w:val="•"/>
      <w:lvlJc w:val="left"/>
      <w:pPr>
        <w:ind w:left="2091" w:hanging="400"/>
      </w:pPr>
      <w:rPr>
        <w:rFonts w:hint="default"/>
        <w:lang w:val="es-ES" w:eastAsia="es-ES" w:bidi="es-ES"/>
      </w:rPr>
    </w:lvl>
    <w:lvl w:ilvl="4" w:tplc="D14AB486">
      <w:numFmt w:val="bullet"/>
      <w:lvlText w:val="•"/>
      <w:lvlJc w:val="left"/>
      <w:pPr>
        <w:ind w:left="2509" w:hanging="400"/>
      </w:pPr>
      <w:rPr>
        <w:rFonts w:hint="default"/>
        <w:lang w:val="es-ES" w:eastAsia="es-ES" w:bidi="es-ES"/>
      </w:rPr>
    </w:lvl>
    <w:lvl w:ilvl="5" w:tplc="F82A0DFC">
      <w:numFmt w:val="bullet"/>
      <w:lvlText w:val="•"/>
      <w:lvlJc w:val="left"/>
      <w:pPr>
        <w:ind w:left="2926" w:hanging="400"/>
      </w:pPr>
      <w:rPr>
        <w:rFonts w:hint="default"/>
        <w:lang w:val="es-ES" w:eastAsia="es-ES" w:bidi="es-ES"/>
      </w:rPr>
    </w:lvl>
    <w:lvl w:ilvl="6" w:tplc="FCB2C80E">
      <w:numFmt w:val="bullet"/>
      <w:lvlText w:val="•"/>
      <w:lvlJc w:val="left"/>
      <w:pPr>
        <w:ind w:left="3343" w:hanging="400"/>
      </w:pPr>
      <w:rPr>
        <w:rFonts w:hint="default"/>
        <w:lang w:val="es-ES" w:eastAsia="es-ES" w:bidi="es-ES"/>
      </w:rPr>
    </w:lvl>
    <w:lvl w:ilvl="7" w:tplc="7382C834">
      <w:numFmt w:val="bullet"/>
      <w:lvlText w:val="•"/>
      <w:lvlJc w:val="left"/>
      <w:pPr>
        <w:ind w:left="3760" w:hanging="400"/>
      </w:pPr>
      <w:rPr>
        <w:rFonts w:hint="default"/>
        <w:lang w:val="es-ES" w:eastAsia="es-ES" w:bidi="es-ES"/>
      </w:rPr>
    </w:lvl>
    <w:lvl w:ilvl="8" w:tplc="201893D4">
      <w:numFmt w:val="bullet"/>
      <w:lvlText w:val="•"/>
      <w:lvlJc w:val="left"/>
      <w:pPr>
        <w:ind w:left="4178" w:hanging="400"/>
      </w:pPr>
      <w:rPr>
        <w:rFonts w:hint="default"/>
        <w:lang w:val="es-ES" w:eastAsia="es-ES" w:bidi="es-ES"/>
      </w:rPr>
    </w:lvl>
  </w:abstractNum>
  <w:abstractNum w:abstractNumId="44" w15:restartNumberingAfterBreak="0">
    <w:nsid w:val="76A72775"/>
    <w:multiLevelType w:val="hybridMultilevel"/>
    <w:tmpl w:val="CA165B14"/>
    <w:lvl w:ilvl="0" w:tplc="619C0746">
      <w:start w:val="2"/>
      <w:numFmt w:val="lowerLetter"/>
      <w:lvlText w:val="%1)"/>
      <w:lvlJc w:val="left"/>
      <w:pPr>
        <w:ind w:left="56" w:hanging="266"/>
        <w:jc w:val="left"/>
      </w:pPr>
      <w:rPr>
        <w:rFonts w:ascii="Times New Roman" w:eastAsia="Times New Roman" w:hAnsi="Times New Roman" w:cs="Times New Roman" w:hint="default"/>
        <w:color w:val="231F20"/>
        <w:spacing w:val="-4"/>
        <w:w w:val="99"/>
        <w:sz w:val="20"/>
        <w:szCs w:val="20"/>
        <w:lang w:val="es-ES" w:eastAsia="es-ES" w:bidi="es-ES"/>
      </w:rPr>
    </w:lvl>
    <w:lvl w:ilvl="1" w:tplc="7C3200AC">
      <w:numFmt w:val="bullet"/>
      <w:lvlText w:val="•"/>
      <w:lvlJc w:val="left"/>
      <w:pPr>
        <w:ind w:left="384" w:hanging="266"/>
      </w:pPr>
      <w:rPr>
        <w:rFonts w:hint="default"/>
        <w:lang w:val="es-ES" w:eastAsia="es-ES" w:bidi="es-ES"/>
      </w:rPr>
    </w:lvl>
    <w:lvl w:ilvl="2" w:tplc="19F67300">
      <w:numFmt w:val="bullet"/>
      <w:lvlText w:val="•"/>
      <w:lvlJc w:val="left"/>
      <w:pPr>
        <w:ind w:left="708" w:hanging="266"/>
      </w:pPr>
      <w:rPr>
        <w:rFonts w:hint="default"/>
        <w:lang w:val="es-ES" w:eastAsia="es-ES" w:bidi="es-ES"/>
      </w:rPr>
    </w:lvl>
    <w:lvl w:ilvl="3" w:tplc="6BDC5E1E">
      <w:numFmt w:val="bullet"/>
      <w:lvlText w:val="•"/>
      <w:lvlJc w:val="left"/>
      <w:pPr>
        <w:ind w:left="1032" w:hanging="266"/>
      </w:pPr>
      <w:rPr>
        <w:rFonts w:hint="default"/>
        <w:lang w:val="es-ES" w:eastAsia="es-ES" w:bidi="es-ES"/>
      </w:rPr>
    </w:lvl>
    <w:lvl w:ilvl="4" w:tplc="2738D428">
      <w:numFmt w:val="bullet"/>
      <w:lvlText w:val="•"/>
      <w:lvlJc w:val="left"/>
      <w:pPr>
        <w:ind w:left="1356" w:hanging="266"/>
      </w:pPr>
      <w:rPr>
        <w:rFonts w:hint="default"/>
        <w:lang w:val="es-ES" w:eastAsia="es-ES" w:bidi="es-ES"/>
      </w:rPr>
    </w:lvl>
    <w:lvl w:ilvl="5" w:tplc="BCB29F5E">
      <w:numFmt w:val="bullet"/>
      <w:lvlText w:val="•"/>
      <w:lvlJc w:val="left"/>
      <w:pPr>
        <w:ind w:left="1680" w:hanging="266"/>
      </w:pPr>
      <w:rPr>
        <w:rFonts w:hint="default"/>
        <w:lang w:val="es-ES" w:eastAsia="es-ES" w:bidi="es-ES"/>
      </w:rPr>
    </w:lvl>
    <w:lvl w:ilvl="6" w:tplc="50D6A3F0">
      <w:numFmt w:val="bullet"/>
      <w:lvlText w:val="•"/>
      <w:lvlJc w:val="left"/>
      <w:pPr>
        <w:ind w:left="2004" w:hanging="266"/>
      </w:pPr>
      <w:rPr>
        <w:rFonts w:hint="default"/>
        <w:lang w:val="es-ES" w:eastAsia="es-ES" w:bidi="es-ES"/>
      </w:rPr>
    </w:lvl>
    <w:lvl w:ilvl="7" w:tplc="AAE47F62">
      <w:numFmt w:val="bullet"/>
      <w:lvlText w:val="•"/>
      <w:lvlJc w:val="left"/>
      <w:pPr>
        <w:ind w:left="2328" w:hanging="266"/>
      </w:pPr>
      <w:rPr>
        <w:rFonts w:hint="default"/>
        <w:lang w:val="es-ES" w:eastAsia="es-ES" w:bidi="es-ES"/>
      </w:rPr>
    </w:lvl>
    <w:lvl w:ilvl="8" w:tplc="65C83D00">
      <w:numFmt w:val="bullet"/>
      <w:lvlText w:val="•"/>
      <w:lvlJc w:val="left"/>
      <w:pPr>
        <w:ind w:left="2652" w:hanging="266"/>
      </w:pPr>
      <w:rPr>
        <w:rFonts w:hint="default"/>
        <w:lang w:val="es-ES" w:eastAsia="es-ES" w:bidi="es-ES"/>
      </w:rPr>
    </w:lvl>
  </w:abstractNum>
  <w:abstractNum w:abstractNumId="45" w15:restartNumberingAfterBreak="0">
    <w:nsid w:val="7AF8557A"/>
    <w:multiLevelType w:val="hybridMultilevel"/>
    <w:tmpl w:val="C090C5E6"/>
    <w:lvl w:ilvl="0" w:tplc="8E4C66C8">
      <w:start w:val="1"/>
      <w:numFmt w:val="decimal"/>
      <w:lvlText w:val="%1"/>
      <w:lvlJc w:val="left"/>
      <w:pPr>
        <w:ind w:left="437" w:hanging="284"/>
        <w:jc w:val="left"/>
      </w:pPr>
      <w:rPr>
        <w:rFonts w:ascii="Times New Roman" w:eastAsia="Times New Roman" w:hAnsi="Times New Roman" w:cs="Times New Roman" w:hint="default"/>
        <w:color w:val="58595B"/>
        <w:spacing w:val="-14"/>
        <w:w w:val="99"/>
        <w:position w:val="7"/>
        <w:sz w:val="16"/>
        <w:szCs w:val="16"/>
        <w:lang w:val="es-ES" w:eastAsia="es-ES" w:bidi="es-ES"/>
      </w:rPr>
    </w:lvl>
    <w:lvl w:ilvl="1" w:tplc="A29CC96C">
      <w:numFmt w:val="bullet"/>
      <w:lvlText w:val="•"/>
      <w:lvlJc w:val="left"/>
      <w:pPr>
        <w:ind w:left="904" w:hanging="284"/>
      </w:pPr>
      <w:rPr>
        <w:rFonts w:hint="default"/>
        <w:lang w:val="es-ES" w:eastAsia="es-ES" w:bidi="es-ES"/>
      </w:rPr>
    </w:lvl>
    <w:lvl w:ilvl="2" w:tplc="CF6AC5FA">
      <w:numFmt w:val="bullet"/>
      <w:lvlText w:val="•"/>
      <w:lvlJc w:val="left"/>
      <w:pPr>
        <w:ind w:left="1369" w:hanging="284"/>
      </w:pPr>
      <w:rPr>
        <w:rFonts w:hint="default"/>
        <w:lang w:val="es-ES" w:eastAsia="es-ES" w:bidi="es-ES"/>
      </w:rPr>
    </w:lvl>
    <w:lvl w:ilvl="3" w:tplc="98A6A918">
      <w:numFmt w:val="bullet"/>
      <w:lvlText w:val="•"/>
      <w:lvlJc w:val="left"/>
      <w:pPr>
        <w:ind w:left="1834" w:hanging="284"/>
      </w:pPr>
      <w:rPr>
        <w:rFonts w:hint="default"/>
        <w:lang w:val="es-ES" w:eastAsia="es-ES" w:bidi="es-ES"/>
      </w:rPr>
    </w:lvl>
    <w:lvl w:ilvl="4" w:tplc="ADBA4644">
      <w:numFmt w:val="bullet"/>
      <w:lvlText w:val="•"/>
      <w:lvlJc w:val="left"/>
      <w:pPr>
        <w:ind w:left="2298" w:hanging="284"/>
      </w:pPr>
      <w:rPr>
        <w:rFonts w:hint="default"/>
        <w:lang w:val="es-ES" w:eastAsia="es-ES" w:bidi="es-ES"/>
      </w:rPr>
    </w:lvl>
    <w:lvl w:ilvl="5" w:tplc="1E90D466">
      <w:numFmt w:val="bullet"/>
      <w:lvlText w:val="•"/>
      <w:lvlJc w:val="left"/>
      <w:pPr>
        <w:ind w:left="2763" w:hanging="284"/>
      </w:pPr>
      <w:rPr>
        <w:rFonts w:hint="default"/>
        <w:lang w:val="es-ES" w:eastAsia="es-ES" w:bidi="es-ES"/>
      </w:rPr>
    </w:lvl>
    <w:lvl w:ilvl="6" w:tplc="DDCA4BDA">
      <w:numFmt w:val="bullet"/>
      <w:lvlText w:val="•"/>
      <w:lvlJc w:val="left"/>
      <w:pPr>
        <w:ind w:left="3228" w:hanging="284"/>
      </w:pPr>
      <w:rPr>
        <w:rFonts w:hint="default"/>
        <w:lang w:val="es-ES" w:eastAsia="es-ES" w:bidi="es-ES"/>
      </w:rPr>
    </w:lvl>
    <w:lvl w:ilvl="7" w:tplc="4A2E5AC6">
      <w:numFmt w:val="bullet"/>
      <w:lvlText w:val="•"/>
      <w:lvlJc w:val="left"/>
      <w:pPr>
        <w:ind w:left="3692" w:hanging="284"/>
      </w:pPr>
      <w:rPr>
        <w:rFonts w:hint="default"/>
        <w:lang w:val="es-ES" w:eastAsia="es-ES" w:bidi="es-ES"/>
      </w:rPr>
    </w:lvl>
    <w:lvl w:ilvl="8" w:tplc="B5A61F34">
      <w:numFmt w:val="bullet"/>
      <w:lvlText w:val="•"/>
      <w:lvlJc w:val="left"/>
      <w:pPr>
        <w:ind w:left="4157" w:hanging="284"/>
      </w:pPr>
      <w:rPr>
        <w:rFonts w:hint="default"/>
        <w:lang w:val="es-ES" w:eastAsia="es-ES" w:bidi="es-ES"/>
      </w:rPr>
    </w:lvl>
  </w:abstractNum>
  <w:abstractNum w:abstractNumId="46" w15:restartNumberingAfterBreak="0">
    <w:nsid w:val="7C3678C0"/>
    <w:multiLevelType w:val="multilevel"/>
    <w:tmpl w:val="8BC471B4"/>
    <w:lvl w:ilvl="0">
      <w:start w:val="1"/>
      <w:numFmt w:val="decimal"/>
      <w:lvlText w:val="%1."/>
      <w:lvlJc w:val="left"/>
      <w:pPr>
        <w:ind w:left="833" w:hanging="400"/>
        <w:jc w:val="left"/>
      </w:pPr>
      <w:rPr>
        <w:rFonts w:ascii="Times New Roman" w:eastAsia="Times New Roman" w:hAnsi="Times New Roman" w:cs="Times New Roman" w:hint="default"/>
        <w:b/>
        <w:bCs/>
        <w:color w:val="231F20"/>
        <w:w w:val="99"/>
        <w:sz w:val="23"/>
        <w:szCs w:val="23"/>
        <w:lang w:val="es-ES" w:eastAsia="es-ES" w:bidi="es-ES"/>
      </w:rPr>
    </w:lvl>
    <w:lvl w:ilvl="1">
      <w:start w:val="1"/>
      <w:numFmt w:val="decimal"/>
      <w:lvlText w:val="%1.%2."/>
      <w:lvlJc w:val="left"/>
      <w:pPr>
        <w:ind w:left="833" w:hanging="401"/>
        <w:jc w:val="left"/>
      </w:pPr>
      <w:rPr>
        <w:rFonts w:ascii="Times New Roman" w:eastAsia="Times New Roman" w:hAnsi="Times New Roman" w:cs="Times New Roman" w:hint="default"/>
        <w:b/>
        <w:bCs/>
        <w:color w:val="231F20"/>
        <w:w w:val="100"/>
        <w:sz w:val="24"/>
        <w:szCs w:val="24"/>
        <w:lang w:val="es-ES" w:eastAsia="es-ES" w:bidi="es-ES"/>
      </w:rPr>
    </w:lvl>
    <w:lvl w:ilvl="2">
      <w:numFmt w:val="bullet"/>
      <w:lvlText w:val="•"/>
      <w:lvlJc w:val="left"/>
      <w:pPr>
        <w:ind w:left="1665" w:hanging="401"/>
      </w:pPr>
      <w:rPr>
        <w:rFonts w:hint="default"/>
        <w:lang w:val="es-ES" w:eastAsia="es-ES" w:bidi="es-ES"/>
      </w:rPr>
    </w:lvl>
    <w:lvl w:ilvl="3">
      <w:numFmt w:val="bullet"/>
      <w:lvlText w:val="•"/>
      <w:lvlJc w:val="left"/>
      <w:pPr>
        <w:ind w:left="2077" w:hanging="401"/>
      </w:pPr>
      <w:rPr>
        <w:rFonts w:hint="default"/>
        <w:lang w:val="es-ES" w:eastAsia="es-ES" w:bidi="es-ES"/>
      </w:rPr>
    </w:lvl>
    <w:lvl w:ilvl="4">
      <w:numFmt w:val="bullet"/>
      <w:lvlText w:val="•"/>
      <w:lvlJc w:val="left"/>
      <w:pPr>
        <w:ind w:left="2490" w:hanging="401"/>
      </w:pPr>
      <w:rPr>
        <w:rFonts w:hint="default"/>
        <w:lang w:val="es-ES" w:eastAsia="es-ES" w:bidi="es-ES"/>
      </w:rPr>
    </w:lvl>
    <w:lvl w:ilvl="5">
      <w:numFmt w:val="bullet"/>
      <w:lvlText w:val="•"/>
      <w:lvlJc w:val="left"/>
      <w:pPr>
        <w:ind w:left="2902" w:hanging="401"/>
      </w:pPr>
      <w:rPr>
        <w:rFonts w:hint="default"/>
        <w:lang w:val="es-ES" w:eastAsia="es-ES" w:bidi="es-ES"/>
      </w:rPr>
    </w:lvl>
    <w:lvl w:ilvl="6">
      <w:numFmt w:val="bullet"/>
      <w:lvlText w:val="•"/>
      <w:lvlJc w:val="left"/>
      <w:pPr>
        <w:ind w:left="3315" w:hanging="401"/>
      </w:pPr>
      <w:rPr>
        <w:rFonts w:hint="default"/>
        <w:lang w:val="es-ES" w:eastAsia="es-ES" w:bidi="es-ES"/>
      </w:rPr>
    </w:lvl>
    <w:lvl w:ilvl="7">
      <w:numFmt w:val="bullet"/>
      <w:lvlText w:val="•"/>
      <w:lvlJc w:val="left"/>
      <w:pPr>
        <w:ind w:left="3727" w:hanging="401"/>
      </w:pPr>
      <w:rPr>
        <w:rFonts w:hint="default"/>
        <w:lang w:val="es-ES" w:eastAsia="es-ES" w:bidi="es-ES"/>
      </w:rPr>
    </w:lvl>
    <w:lvl w:ilvl="8">
      <w:numFmt w:val="bullet"/>
      <w:lvlText w:val="•"/>
      <w:lvlJc w:val="left"/>
      <w:pPr>
        <w:ind w:left="4140" w:hanging="401"/>
      </w:pPr>
      <w:rPr>
        <w:rFonts w:hint="default"/>
        <w:lang w:val="es-ES" w:eastAsia="es-ES" w:bidi="es-ES"/>
      </w:rPr>
    </w:lvl>
  </w:abstractNum>
  <w:abstractNum w:abstractNumId="47" w15:restartNumberingAfterBreak="0">
    <w:nsid w:val="7EC47DD8"/>
    <w:multiLevelType w:val="hybridMultilevel"/>
    <w:tmpl w:val="40288E4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8"/>
  </w:num>
  <w:num w:numId="2">
    <w:abstractNumId w:val="37"/>
  </w:num>
  <w:num w:numId="3">
    <w:abstractNumId w:val="47"/>
  </w:num>
  <w:num w:numId="4">
    <w:abstractNumId w:val="6"/>
  </w:num>
  <w:num w:numId="5">
    <w:abstractNumId w:val="29"/>
  </w:num>
  <w:num w:numId="6">
    <w:abstractNumId w:val="9"/>
  </w:num>
  <w:num w:numId="7">
    <w:abstractNumId w:val="25"/>
  </w:num>
  <w:num w:numId="8">
    <w:abstractNumId w:val="13"/>
  </w:num>
  <w:num w:numId="9">
    <w:abstractNumId w:val="15"/>
  </w:num>
  <w:num w:numId="10">
    <w:abstractNumId w:val="8"/>
  </w:num>
  <w:num w:numId="11">
    <w:abstractNumId w:val="36"/>
  </w:num>
  <w:num w:numId="12">
    <w:abstractNumId w:val="24"/>
  </w:num>
  <w:num w:numId="13">
    <w:abstractNumId w:val="35"/>
  </w:num>
  <w:num w:numId="14">
    <w:abstractNumId w:val="10"/>
  </w:num>
  <w:num w:numId="15">
    <w:abstractNumId w:val="43"/>
  </w:num>
  <w:num w:numId="16">
    <w:abstractNumId w:val="31"/>
  </w:num>
  <w:num w:numId="17">
    <w:abstractNumId w:val="17"/>
  </w:num>
  <w:num w:numId="18">
    <w:abstractNumId w:val="11"/>
  </w:num>
  <w:num w:numId="19">
    <w:abstractNumId w:val="32"/>
  </w:num>
  <w:num w:numId="20">
    <w:abstractNumId w:val="45"/>
  </w:num>
  <w:num w:numId="21">
    <w:abstractNumId w:val="19"/>
  </w:num>
  <w:num w:numId="22">
    <w:abstractNumId w:val="0"/>
  </w:num>
  <w:num w:numId="23">
    <w:abstractNumId w:val="21"/>
  </w:num>
  <w:num w:numId="24">
    <w:abstractNumId w:val="2"/>
  </w:num>
  <w:num w:numId="25">
    <w:abstractNumId w:val="41"/>
  </w:num>
  <w:num w:numId="26">
    <w:abstractNumId w:val="7"/>
  </w:num>
  <w:num w:numId="27">
    <w:abstractNumId w:val="28"/>
  </w:num>
  <w:num w:numId="28">
    <w:abstractNumId w:val="4"/>
  </w:num>
  <w:num w:numId="29">
    <w:abstractNumId w:val="22"/>
  </w:num>
  <w:num w:numId="30">
    <w:abstractNumId w:val="39"/>
  </w:num>
  <w:num w:numId="31">
    <w:abstractNumId w:val="46"/>
  </w:num>
  <w:num w:numId="32">
    <w:abstractNumId w:val="42"/>
  </w:num>
  <w:num w:numId="33">
    <w:abstractNumId w:val="1"/>
  </w:num>
  <w:num w:numId="34">
    <w:abstractNumId w:val="26"/>
  </w:num>
  <w:num w:numId="35">
    <w:abstractNumId w:val="44"/>
  </w:num>
  <w:num w:numId="36">
    <w:abstractNumId w:val="18"/>
  </w:num>
  <w:num w:numId="37">
    <w:abstractNumId w:val="30"/>
  </w:num>
  <w:num w:numId="38">
    <w:abstractNumId w:val="5"/>
  </w:num>
  <w:num w:numId="39">
    <w:abstractNumId w:val="33"/>
  </w:num>
  <w:num w:numId="40">
    <w:abstractNumId w:val="16"/>
  </w:num>
  <w:num w:numId="41">
    <w:abstractNumId w:val="40"/>
  </w:num>
  <w:num w:numId="42">
    <w:abstractNumId w:val="14"/>
  </w:num>
  <w:num w:numId="43">
    <w:abstractNumId w:val="3"/>
  </w:num>
  <w:num w:numId="44">
    <w:abstractNumId w:val="34"/>
  </w:num>
  <w:num w:numId="45">
    <w:abstractNumId w:val="20"/>
  </w:num>
  <w:num w:numId="46">
    <w:abstractNumId w:val="12"/>
  </w:num>
  <w:num w:numId="47">
    <w:abstractNumId w:val="23"/>
  </w:num>
  <w:num w:numId="4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69"/>
    <w:rsid w:val="00000A35"/>
    <w:rsid w:val="00001CB7"/>
    <w:rsid w:val="00002776"/>
    <w:rsid w:val="000029F5"/>
    <w:rsid w:val="000059A2"/>
    <w:rsid w:val="00007282"/>
    <w:rsid w:val="00010ACF"/>
    <w:rsid w:val="000124F2"/>
    <w:rsid w:val="00014697"/>
    <w:rsid w:val="00014A8C"/>
    <w:rsid w:val="000174D2"/>
    <w:rsid w:val="00017F19"/>
    <w:rsid w:val="00021D96"/>
    <w:rsid w:val="00022D81"/>
    <w:rsid w:val="000235AE"/>
    <w:rsid w:val="000252C3"/>
    <w:rsid w:val="00025397"/>
    <w:rsid w:val="00025D01"/>
    <w:rsid w:val="00030E68"/>
    <w:rsid w:val="0003528C"/>
    <w:rsid w:val="00036654"/>
    <w:rsid w:val="000403F6"/>
    <w:rsid w:val="00041D2E"/>
    <w:rsid w:val="00043470"/>
    <w:rsid w:val="000439F2"/>
    <w:rsid w:val="00044E39"/>
    <w:rsid w:val="00045F7A"/>
    <w:rsid w:val="000469DA"/>
    <w:rsid w:val="00047992"/>
    <w:rsid w:val="00050575"/>
    <w:rsid w:val="00052E56"/>
    <w:rsid w:val="00054074"/>
    <w:rsid w:val="000544FB"/>
    <w:rsid w:val="00061B9D"/>
    <w:rsid w:val="00062FCD"/>
    <w:rsid w:val="0006367C"/>
    <w:rsid w:val="00063B9D"/>
    <w:rsid w:val="0006564F"/>
    <w:rsid w:val="00067114"/>
    <w:rsid w:val="000674BF"/>
    <w:rsid w:val="000711AF"/>
    <w:rsid w:val="000716A6"/>
    <w:rsid w:val="00072236"/>
    <w:rsid w:val="00072834"/>
    <w:rsid w:val="00073B8C"/>
    <w:rsid w:val="0007429A"/>
    <w:rsid w:val="000759C2"/>
    <w:rsid w:val="00080BEF"/>
    <w:rsid w:val="00080D0C"/>
    <w:rsid w:val="00082662"/>
    <w:rsid w:val="00091BE1"/>
    <w:rsid w:val="00096A04"/>
    <w:rsid w:val="000A10B1"/>
    <w:rsid w:val="000A1250"/>
    <w:rsid w:val="000A1AD3"/>
    <w:rsid w:val="000A1BAF"/>
    <w:rsid w:val="000A3295"/>
    <w:rsid w:val="000A5433"/>
    <w:rsid w:val="000A5DE3"/>
    <w:rsid w:val="000A5F1D"/>
    <w:rsid w:val="000A6068"/>
    <w:rsid w:val="000A6927"/>
    <w:rsid w:val="000A6F0F"/>
    <w:rsid w:val="000A7162"/>
    <w:rsid w:val="000A7450"/>
    <w:rsid w:val="000B00FF"/>
    <w:rsid w:val="000B010F"/>
    <w:rsid w:val="000B10D4"/>
    <w:rsid w:val="000B1CAE"/>
    <w:rsid w:val="000B408B"/>
    <w:rsid w:val="000B4DD9"/>
    <w:rsid w:val="000B6569"/>
    <w:rsid w:val="000B69F6"/>
    <w:rsid w:val="000B7A84"/>
    <w:rsid w:val="000C0660"/>
    <w:rsid w:val="000C2527"/>
    <w:rsid w:val="000C57E0"/>
    <w:rsid w:val="000C5AA3"/>
    <w:rsid w:val="000C6349"/>
    <w:rsid w:val="000C6941"/>
    <w:rsid w:val="000D0D97"/>
    <w:rsid w:val="000D1908"/>
    <w:rsid w:val="000D1E94"/>
    <w:rsid w:val="000D2260"/>
    <w:rsid w:val="000D23C3"/>
    <w:rsid w:val="000D2CC3"/>
    <w:rsid w:val="000D7C3D"/>
    <w:rsid w:val="000E00F2"/>
    <w:rsid w:val="000E68CB"/>
    <w:rsid w:val="000E72A5"/>
    <w:rsid w:val="000E76E2"/>
    <w:rsid w:val="000E7A4C"/>
    <w:rsid w:val="000F2B4B"/>
    <w:rsid w:val="000F36DB"/>
    <w:rsid w:val="000F4161"/>
    <w:rsid w:val="000F5BD7"/>
    <w:rsid w:val="000F6375"/>
    <w:rsid w:val="000F6A9F"/>
    <w:rsid w:val="00101241"/>
    <w:rsid w:val="00102F57"/>
    <w:rsid w:val="001053EC"/>
    <w:rsid w:val="001060A1"/>
    <w:rsid w:val="001074F8"/>
    <w:rsid w:val="00107583"/>
    <w:rsid w:val="001101A3"/>
    <w:rsid w:val="00110FF1"/>
    <w:rsid w:val="0011332F"/>
    <w:rsid w:val="00116DB4"/>
    <w:rsid w:val="00117AFC"/>
    <w:rsid w:val="001219DD"/>
    <w:rsid w:val="00121A58"/>
    <w:rsid w:val="00121A64"/>
    <w:rsid w:val="00121CB2"/>
    <w:rsid w:val="001225FB"/>
    <w:rsid w:val="00124128"/>
    <w:rsid w:val="00124BAE"/>
    <w:rsid w:val="001302F6"/>
    <w:rsid w:val="00130FB2"/>
    <w:rsid w:val="00131D99"/>
    <w:rsid w:val="0013200F"/>
    <w:rsid w:val="001327F8"/>
    <w:rsid w:val="00133669"/>
    <w:rsid w:val="00134F95"/>
    <w:rsid w:val="00135D0C"/>
    <w:rsid w:val="00135D58"/>
    <w:rsid w:val="00135DE4"/>
    <w:rsid w:val="00136987"/>
    <w:rsid w:val="0014031D"/>
    <w:rsid w:val="001404A8"/>
    <w:rsid w:val="00141EEB"/>
    <w:rsid w:val="00142F21"/>
    <w:rsid w:val="00143873"/>
    <w:rsid w:val="00143B53"/>
    <w:rsid w:val="00144260"/>
    <w:rsid w:val="00145F2D"/>
    <w:rsid w:val="00147A49"/>
    <w:rsid w:val="001504B4"/>
    <w:rsid w:val="00151ADC"/>
    <w:rsid w:val="00153632"/>
    <w:rsid w:val="001544C1"/>
    <w:rsid w:val="00154CDB"/>
    <w:rsid w:val="00156B65"/>
    <w:rsid w:val="00157BA2"/>
    <w:rsid w:val="00161189"/>
    <w:rsid w:val="001618A0"/>
    <w:rsid w:val="00161CE0"/>
    <w:rsid w:val="00162861"/>
    <w:rsid w:val="00162E8F"/>
    <w:rsid w:val="001630D8"/>
    <w:rsid w:val="001631A8"/>
    <w:rsid w:val="00163E8A"/>
    <w:rsid w:val="00164484"/>
    <w:rsid w:val="00164764"/>
    <w:rsid w:val="001654D1"/>
    <w:rsid w:val="001671AD"/>
    <w:rsid w:val="001675CC"/>
    <w:rsid w:val="00172CC1"/>
    <w:rsid w:val="001734E3"/>
    <w:rsid w:val="0017375D"/>
    <w:rsid w:val="0017581D"/>
    <w:rsid w:val="00176EB2"/>
    <w:rsid w:val="001775A7"/>
    <w:rsid w:val="001803E7"/>
    <w:rsid w:val="00181A32"/>
    <w:rsid w:val="00181EF3"/>
    <w:rsid w:val="00183E76"/>
    <w:rsid w:val="0018429E"/>
    <w:rsid w:val="00185503"/>
    <w:rsid w:val="001856C5"/>
    <w:rsid w:val="00185B1B"/>
    <w:rsid w:val="00186866"/>
    <w:rsid w:val="00186F90"/>
    <w:rsid w:val="00187271"/>
    <w:rsid w:val="001879D1"/>
    <w:rsid w:val="00187D08"/>
    <w:rsid w:val="001915D7"/>
    <w:rsid w:val="00192277"/>
    <w:rsid w:val="0019468B"/>
    <w:rsid w:val="00195AFB"/>
    <w:rsid w:val="001962D7"/>
    <w:rsid w:val="00196D06"/>
    <w:rsid w:val="00196EDC"/>
    <w:rsid w:val="001A019E"/>
    <w:rsid w:val="001A05D2"/>
    <w:rsid w:val="001A0EA0"/>
    <w:rsid w:val="001A264B"/>
    <w:rsid w:val="001A492C"/>
    <w:rsid w:val="001A53CB"/>
    <w:rsid w:val="001A57F8"/>
    <w:rsid w:val="001A6A6F"/>
    <w:rsid w:val="001A6DD7"/>
    <w:rsid w:val="001A77A4"/>
    <w:rsid w:val="001B386A"/>
    <w:rsid w:val="001B49C5"/>
    <w:rsid w:val="001B4CF3"/>
    <w:rsid w:val="001B651E"/>
    <w:rsid w:val="001B6C7F"/>
    <w:rsid w:val="001B6DF0"/>
    <w:rsid w:val="001C1317"/>
    <w:rsid w:val="001C40F0"/>
    <w:rsid w:val="001C72F8"/>
    <w:rsid w:val="001C76E4"/>
    <w:rsid w:val="001C7EBF"/>
    <w:rsid w:val="001D1A03"/>
    <w:rsid w:val="001D22D8"/>
    <w:rsid w:val="001D6B58"/>
    <w:rsid w:val="001D779C"/>
    <w:rsid w:val="001D7934"/>
    <w:rsid w:val="001E04B5"/>
    <w:rsid w:val="001E3D3E"/>
    <w:rsid w:val="001E3EB5"/>
    <w:rsid w:val="001E710A"/>
    <w:rsid w:val="001F7166"/>
    <w:rsid w:val="00201F60"/>
    <w:rsid w:val="00202A2C"/>
    <w:rsid w:val="00202A85"/>
    <w:rsid w:val="00204AB3"/>
    <w:rsid w:val="00207D00"/>
    <w:rsid w:val="00211A62"/>
    <w:rsid w:val="002127D6"/>
    <w:rsid w:val="00213F47"/>
    <w:rsid w:val="00214EAE"/>
    <w:rsid w:val="00215424"/>
    <w:rsid w:val="002165E7"/>
    <w:rsid w:val="002175FF"/>
    <w:rsid w:val="00217D42"/>
    <w:rsid w:val="002226F6"/>
    <w:rsid w:val="00222A42"/>
    <w:rsid w:val="00222DF1"/>
    <w:rsid w:val="00223402"/>
    <w:rsid w:val="0022355E"/>
    <w:rsid w:val="002247CD"/>
    <w:rsid w:val="00225806"/>
    <w:rsid w:val="002259E9"/>
    <w:rsid w:val="0022680D"/>
    <w:rsid w:val="002279F9"/>
    <w:rsid w:val="00230E58"/>
    <w:rsid w:val="002312E5"/>
    <w:rsid w:val="00233E7F"/>
    <w:rsid w:val="002352FA"/>
    <w:rsid w:val="00235DEE"/>
    <w:rsid w:val="00236530"/>
    <w:rsid w:val="0024096D"/>
    <w:rsid w:val="00242F7E"/>
    <w:rsid w:val="002433B7"/>
    <w:rsid w:val="00243FC4"/>
    <w:rsid w:val="00247B5B"/>
    <w:rsid w:val="00250D97"/>
    <w:rsid w:val="00251E0A"/>
    <w:rsid w:val="00253E93"/>
    <w:rsid w:val="00254FFE"/>
    <w:rsid w:val="0025598B"/>
    <w:rsid w:val="002562FF"/>
    <w:rsid w:val="00263011"/>
    <w:rsid w:val="00266569"/>
    <w:rsid w:val="00272161"/>
    <w:rsid w:val="00273932"/>
    <w:rsid w:val="00274B7E"/>
    <w:rsid w:val="00274E0F"/>
    <w:rsid w:val="00280232"/>
    <w:rsid w:val="002805B9"/>
    <w:rsid w:val="002821CE"/>
    <w:rsid w:val="002839C2"/>
    <w:rsid w:val="00291952"/>
    <w:rsid w:val="00296728"/>
    <w:rsid w:val="00297D18"/>
    <w:rsid w:val="002A41BB"/>
    <w:rsid w:val="002A49EA"/>
    <w:rsid w:val="002A4FF2"/>
    <w:rsid w:val="002A5106"/>
    <w:rsid w:val="002A5D51"/>
    <w:rsid w:val="002A5E2B"/>
    <w:rsid w:val="002A6506"/>
    <w:rsid w:val="002B0367"/>
    <w:rsid w:val="002B14A3"/>
    <w:rsid w:val="002B34E9"/>
    <w:rsid w:val="002B615A"/>
    <w:rsid w:val="002B6851"/>
    <w:rsid w:val="002C2A8A"/>
    <w:rsid w:val="002C3B0D"/>
    <w:rsid w:val="002C5160"/>
    <w:rsid w:val="002C57D3"/>
    <w:rsid w:val="002C7185"/>
    <w:rsid w:val="002C77D1"/>
    <w:rsid w:val="002D0B71"/>
    <w:rsid w:val="002D1358"/>
    <w:rsid w:val="002D17DE"/>
    <w:rsid w:val="002D31A4"/>
    <w:rsid w:val="002D3270"/>
    <w:rsid w:val="002D366C"/>
    <w:rsid w:val="002D42C2"/>
    <w:rsid w:val="002D4330"/>
    <w:rsid w:val="002E15EB"/>
    <w:rsid w:val="002E3536"/>
    <w:rsid w:val="002E55B3"/>
    <w:rsid w:val="002F0729"/>
    <w:rsid w:val="002F1286"/>
    <w:rsid w:val="002F14C1"/>
    <w:rsid w:val="002F20A4"/>
    <w:rsid w:val="002F2EB1"/>
    <w:rsid w:val="002F2F76"/>
    <w:rsid w:val="002F321A"/>
    <w:rsid w:val="002F38CB"/>
    <w:rsid w:val="002F4C2A"/>
    <w:rsid w:val="002F5235"/>
    <w:rsid w:val="002F59AF"/>
    <w:rsid w:val="0030007C"/>
    <w:rsid w:val="0030088F"/>
    <w:rsid w:val="003008F2"/>
    <w:rsid w:val="00301C83"/>
    <w:rsid w:val="00302BEA"/>
    <w:rsid w:val="00303825"/>
    <w:rsid w:val="00305351"/>
    <w:rsid w:val="00305926"/>
    <w:rsid w:val="00305AEB"/>
    <w:rsid w:val="0030604A"/>
    <w:rsid w:val="003076B4"/>
    <w:rsid w:val="0031034F"/>
    <w:rsid w:val="00313FF9"/>
    <w:rsid w:val="003171B2"/>
    <w:rsid w:val="00317FF9"/>
    <w:rsid w:val="00320528"/>
    <w:rsid w:val="00320701"/>
    <w:rsid w:val="003240DA"/>
    <w:rsid w:val="00324401"/>
    <w:rsid w:val="00331C09"/>
    <w:rsid w:val="00332F12"/>
    <w:rsid w:val="0033752E"/>
    <w:rsid w:val="00340548"/>
    <w:rsid w:val="00340868"/>
    <w:rsid w:val="003425EA"/>
    <w:rsid w:val="0034359A"/>
    <w:rsid w:val="0034373E"/>
    <w:rsid w:val="003437F2"/>
    <w:rsid w:val="00343838"/>
    <w:rsid w:val="00343E42"/>
    <w:rsid w:val="003440D6"/>
    <w:rsid w:val="003449F1"/>
    <w:rsid w:val="00344A99"/>
    <w:rsid w:val="00345303"/>
    <w:rsid w:val="00347399"/>
    <w:rsid w:val="00352418"/>
    <w:rsid w:val="00356479"/>
    <w:rsid w:val="00356ED6"/>
    <w:rsid w:val="003571D4"/>
    <w:rsid w:val="003571E8"/>
    <w:rsid w:val="00360DB8"/>
    <w:rsid w:val="0036127D"/>
    <w:rsid w:val="0036202B"/>
    <w:rsid w:val="00363BE2"/>
    <w:rsid w:val="003642BF"/>
    <w:rsid w:val="00366E3A"/>
    <w:rsid w:val="00367DE0"/>
    <w:rsid w:val="0037247B"/>
    <w:rsid w:val="0037283B"/>
    <w:rsid w:val="00373CF6"/>
    <w:rsid w:val="00374A14"/>
    <w:rsid w:val="003752BB"/>
    <w:rsid w:val="00377691"/>
    <w:rsid w:val="003779B1"/>
    <w:rsid w:val="003779F1"/>
    <w:rsid w:val="00381920"/>
    <w:rsid w:val="00387737"/>
    <w:rsid w:val="00390306"/>
    <w:rsid w:val="003919E8"/>
    <w:rsid w:val="00391E25"/>
    <w:rsid w:val="003937DB"/>
    <w:rsid w:val="003953CF"/>
    <w:rsid w:val="00397678"/>
    <w:rsid w:val="003A0E3B"/>
    <w:rsid w:val="003A2302"/>
    <w:rsid w:val="003A2C20"/>
    <w:rsid w:val="003A43F0"/>
    <w:rsid w:val="003A4544"/>
    <w:rsid w:val="003A4E8D"/>
    <w:rsid w:val="003A6607"/>
    <w:rsid w:val="003A6EE2"/>
    <w:rsid w:val="003B16B4"/>
    <w:rsid w:val="003B1C18"/>
    <w:rsid w:val="003B3176"/>
    <w:rsid w:val="003B3EF3"/>
    <w:rsid w:val="003B4FCD"/>
    <w:rsid w:val="003B75C0"/>
    <w:rsid w:val="003B7BB8"/>
    <w:rsid w:val="003C0D66"/>
    <w:rsid w:val="003C1E04"/>
    <w:rsid w:val="003C2453"/>
    <w:rsid w:val="003C2D4B"/>
    <w:rsid w:val="003C3099"/>
    <w:rsid w:val="003C3FC5"/>
    <w:rsid w:val="003C4550"/>
    <w:rsid w:val="003C5AA4"/>
    <w:rsid w:val="003C735E"/>
    <w:rsid w:val="003C7ABA"/>
    <w:rsid w:val="003D0D54"/>
    <w:rsid w:val="003D1CD8"/>
    <w:rsid w:val="003D1D1E"/>
    <w:rsid w:val="003D2F4E"/>
    <w:rsid w:val="003D4625"/>
    <w:rsid w:val="003D56C7"/>
    <w:rsid w:val="003D7D12"/>
    <w:rsid w:val="003E0AF6"/>
    <w:rsid w:val="003E47AF"/>
    <w:rsid w:val="003F0786"/>
    <w:rsid w:val="003F17AC"/>
    <w:rsid w:val="003F1E2C"/>
    <w:rsid w:val="003F1FE4"/>
    <w:rsid w:val="003F26E0"/>
    <w:rsid w:val="003F2A8F"/>
    <w:rsid w:val="003F6A08"/>
    <w:rsid w:val="003F6BAB"/>
    <w:rsid w:val="003F6D8D"/>
    <w:rsid w:val="003F7EE5"/>
    <w:rsid w:val="00405957"/>
    <w:rsid w:val="00411298"/>
    <w:rsid w:val="004115CE"/>
    <w:rsid w:val="004117C8"/>
    <w:rsid w:val="00411ADE"/>
    <w:rsid w:val="00412EA7"/>
    <w:rsid w:val="0041331F"/>
    <w:rsid w:val="004151CE"/>
    <w:rsid w:val="00416B51"/>
    <w:rsid w:val="0042101F"/>
    <w:rsid w:val="00422151"/>
    <w:rsid w:val="0042317F"/>
    <w:rsid w:val="004259E8"/>
    <w:rsid w:val="00426264"/>
    <w:rsid w:val="00441FDA"/>
    <w:rsid w:val="004421B4"/>
    <w:rsid w:val="004436D4"/>
    <w:rsid w:val="00444547"/>
    <w:rsid w:val="00447156"/>
    <w:rsid w:val="00451E12"/>
    <w:rsid w:val="00452C81"/>
    <w:rsid w:val="004558F6"/>
    <w:rsid w:val="00456D64"/>
    <w:rsid w:val="004609F6"/>
    <w:rsid w:val="00460D46"/>
    <w:rsid w:val="00462590"/>
    <w:rsid w:val="00467007"/>
    <w:rsid w:val="004675E4"/>
    <w:rsid w:val="00470129"/>
    <w:rsid w:val="00470893"/>
    <w:rsid w:val="00473A69"/>
    <w:rsid w:val="00473E58"/>
    <w:rsid w:val="00474650"/>
    <w:rsid w:val="004753AE"/>
    <w:rsid w:val="0047577C"/>
    <w:rsid w:val="0048034C"/>
    <w:rsid w:val="0048039B"/>
    <w:rsid w:val="00480A28"/>
    <w:rsid w:val="004828EF"/>
    <w:rsid w:val="00487249"/>
    <w:rsid w:val="004913CC"/>
    <w:rsid w:val="004919A6"/>
    <w:rsid w:val="004953D1"/>
    <w:rsid w:val="00496716"/>
    <w:rsid w:val="00496794"/>
    <w:rsid w:val="004976A1"/>
    <w:rsid w:val="004A0928"/>
    <w:rsid w:val="004A3A1E"/>
    <w:rsid w:val="004A40F1"/>
    <w:rsid w:val="004A436C"/>
    <w:rsid w:val="004B00C6"/>
    <w:rsid w:val="004B0AF3"/>
    <w:rsid w:val="004B48E2"/>
    <w:rsid w:val="004B4974"/>
    <w:rsid w:val="004B4C71"/>
    <w:rsid w:val="004B5FB7"/>
    <w:rsid w:val="004B656E"/>
    <w:rsid w:val="004B6A6B"/>
    <w:rsid w:val="004B7E16"/>
    <w:rsid w:val="004C40EF"/>
    <w:rsid w:val="004C433D"/>
    <w:rsid w:val="004C53A5"/>
    <w:rsid w:val="004C5870"/>
    <w:rsid w:val="004D0562"/>
    <w:rsid w:val="004D056F"/>
    <w:rsid w:val="004D1150"/>
    <w:rsid w:val="004D1688"/>
    <w:rsid w:val="004D6048"/>
    <w:rsid w:val="004D6BA7"/>
    <w:rsid w:val="004D7158"/>
    <w:rsid w:val="004E15B5"/>
    <w:rsid w:val="004E3531"/>
    <w:rsid w:val="004E7FBE"/>
    <w:rsid w:val="004F1020"/>
    <w:rsid w:val="004F1648"/>
    <w:rsid w:val="004F171D"/>
    <w:rsid w:val="004F173F"/>
    <w:rsid w:val="004F206B"/>
    <w:rsid w:val="004F2AC0"/>
    <w:rsid w:val="004F2D74"/>
    <w:rsid w:val="004F623F"/>
    <w:rsid w:val="004F64A6"/>
    <w:rsid w:val="004F6DC2"/>
    <w:rsid w:val="00502CFA"/>
    <w:rsid w:val="00511BCD"/>
    <w:rsid w:val="00513ECA"/>
    <w:rsid w:val="005150A9"/>
    <w:rsid w:val="00515957"/>
    <w:rsid w:val="00516C55"/>
    <w:rsid w:val="00517F22"/>
    <w:rsid w:val="005208CE"/>
    <w:rsid w:val="00521E39"/>
    <w:rsid w:val="00522381"/>
    <w:rsid w:val="00522810"/>
    <w:rsid w:val="0052357C"/>
    <w:rsid w:val="00523D2F"/>
    <w:rsid w:val="00526220"/>
    <w:rsid w:val="00530E00"/>
    <w:rsid w:val="00532A61"/>
    <w:rsid w:val="00533F26"/>
    <w:rsid w:val="0053462E"/>
    <w:rsid w:val="00535671"/>
    <w:rsid w:val="005377EC"/>
    <w:rsid w:val="00541E2E"/>
    <w:rsid w:val="0054275D"/>
    <w:rsid w:val="0054344E"/>
    <w:rsid w:val="00544E9F"/>
    <w:rsid w:val="005453B7"/>
    <w:rsid w:val="00547483"/>
    <w:rsid w:val="0055279A"/>
    <w:rsid w:val="00554388"/>
    <w:rsid w:val="005556A7"/>
    <w:rsid w:val="00556416"/>
    <w:rsid w:val="0055791A"/>
    <w:rsid w:val="00557DA3"/>
    <w:rsid w:val="00562959"/>
    <w:rsid w:val="00564784"/>
    <w:rsid w:val="0056536B"/>
    <w:rsid w:val="00566FDA"/>
    <w:rsid w:val="00571637"/>
    <w:rsid w:val="0058005B"/>
    <w:rsid w:val="00580F97"/>
    <w:rsid w:val="00581A38"/>
    <w:rsid w:val="00582CA1"/>
    <w:rsid w:val="005831C0"/>
    <w:rsid w:val="00583454"/>
    <w:rsid w:val="0058421D"/>
    <w:rsid w:val="00585251"/>
    <w:rsid w:val="005863B6"/>
    <w:rsid w:val="00587F86"/>
    <w:rsid w:val="0059026F"/>
    <w:rsid w:val="00591608"/>
    <w:rsid w:val="00593C5D"/>
    <w:rsid w:val="00596401"/>
    <w:rsid w:val="00597E13"/>
    <w:rsid w:val="005A090C"/>
    <w:rsid w:val="005A17B4"/>
    <w:rsid w:val="005A2BB2"/>
    <w:rsid w:val="005A37F7"/>
    <w:rsid w:val="005A55AE"/>
    <w:rsid w:val="005A5719"/>
    <w:rsid w:val="005A5A58"/>
    <w:rsid w:val="005A5E9F"/>
    <w:rsid w:val="005A7E50"/>
    <w:rsid w:val="005B1B0A"/>
    <w:rsid w:val="005B2848"/>
    <w:rsid w:val="005C052B"/>
    <w:rsid w:val="005C0968"/>
    <w:rsid w:val="005C0C08"/>
    <w:rsid w:val="005C35E0"/>
    <w:rsid w:val="005C4E10"/>
    <w:rsid w:val="005C4F23"/>
    <w:rsid w:val="005C572A"/>
    <w:rsid w:val="005C64EF"/>
    <w:rsid w:val="005D0925"/>
    <w:rsid w:val="005D43B1"/>
    <w:rsid w:val="005D4556"/>
    <w:rsid w:val="005D5DF5"/>
    <w:rsid w:val="005D6350"/>
    <w:rsid w:val="005D7570"/>
    <w:rsid w:val="005E110D"/>
    <w:rsid w:val="005E139A"/>
    <w:rsid w:val="005E2027"/>
    <w:rsid w:val="005E317D"/>
    <w:rsid w:val="005E4947"/>
    <w:rsid w:val="005E62E2"/>
    <w:rsid w:val="005E631C"/>
    <w:rsid w:val="005F1C2F"/>
    <w:rsid w:val="005F3356"/>
    <w:rsid w:val="005F53EB"/>
    <w:rsid w:val="005F69AE"/>
    <w:rsid w:val="005F6F39"/>
    <w:rsid w:val="006006E1"/>
    <w:rsid w:val="006009B0"/>
    <w:rsid w:val="006022D2"/>
    <w:rsid w:val="0060264C"/>
    <w:rsid w:val="00603917"/>
    <w:rsid w:val="00604D0D"/>
    <w:rsid w:val="0061082F"/>
    <w:rsid w:val="00612F47"/>
    <w:rsid w:val="00612F54"/>
    <w:rsid w:val="00617DE1"/>
    <w:rsid w:val="00620C95"/>
    <w:rsid w:val="00623AF8"/>
    <w:rsid w:val="00626064"/>
    <w:rsid w:val="00630585"/>
    <w:rsid w:val="006363C5"/>
    <w:rsid w:val="00640031"/>
    <w:rsid w:val="006410ED"/>
    <w:rsid w:val="006416CB"/>
    <w:rsid w:val="00641F33"/>
    <w:rsid w:val="0064343A"/>
    <w:rsid w:val="00645B10"/>
    <w:rsid w:val="00650CFA"/>
    <w:rsid w:val="0065251F"/>
    <w:rsid w:val="00652C3B"/>
    <w:rsid w:val="00655BF1"/>
    <w:rsid w:val="006571E5"/>
    <w:rsid w:val="00657E9D"/>
    <w:rsid w:val="00661528"/>
    <w:rsid w:val="006629D3"/>
    <w:rsid w:val="006634BA"/>
    <w:rsid w:val="006654D0"/>
    <w:rsid w:val="006660E3"/>
    <w:rsid w:val="0066617A"/>
    <w:rsid w:val="00666754"/>
    <w:rsid w:val="00667AB9"/>
    <w:rsid w:val="0067005B"/>
    <w:rsid w:val="006710F0"/>
    <w:rsid w:val="00672393"/>
    <w:rsid w:val="0067422F"/>
    <w:rsid w:val="0067476C"/>
    <w:rsid w:val="00675676"/>
    <w:rsid w:val="00675A06"/>
    <w:rsid w:val="00675A56"/>
    <w:rsid w:val="0067627B"/>
    <w:rsid w:val="00677FEE"/>
    <w:rsid w:val="006835CA"/>
    <w:rsid w:val="00686603"/>
    <w:rsid w:val="00687470"/>
    <w:rsid w:val="00687A5E"/>
    <w:rsid w:val="006909AB"/>
    <w:rsid w:val="00691FDA"/>
    <w:rsid w:val="006963AA"/>
    <w:rsid w:val="006965D0"/>
    <w:rsid w:val="00696BD1"/>
    <w:rsid w:val="00697A66"/>
    <w:rsid w:val="00697F0E"/>
    <w:rsid w:val="006A11BA"/>
    <w:rsid w:val="006A1697"/>
    <w:rsid w:val="006A20E0"/>
    <w:rsid w:val="006A3C37"/>
    <w:rsid w:val="006A4936"/>
    <w:rsid w:val="006B05B1"/>
    <w:rsid w:val="006B2F37"/>
    <w:rsid w:val="006B37D1"/>
    <w:rsid w:val="006B43AD"/>
    <w:rsid w:val="006B63A7"/>
    <w:rsid w:val="006B707A"/>
    <w:rsid w:val="006C0B5D"/>
    <w:rsid w:val="006C33FD"/>
    <w:rsid w:val="006C48F3"/>
    <w:rsid w:val="006C4A28"/>
    <w:rsid w:val="006C542F"/>
    <w:rsid w:val="006C55DE"/>
    <w:rsid w:val="006C6E7E"/>
    <w:rsid w:val="006C73A3"/>
    <w:rsid w:val="006D0E04"/>
    <w:rsid w:val="006D26CA"/>
    <w:rsid w:val="006D59E4"/>
    <w:rsid w:val="006D70B6"/>
    <w:rsid w:val="006D7774"/>
    <w:rsid w:val="006E02B6"/>
    <w:rsid w:val="006E1D49"/>
    <w:rsid w:val="006E28B4"/>
    <w:rsid w:val="006E2D71"/>
    <w:rsid w:val="006E479D"/>
    <w:rsid w:val="006E56B4"/>
    <w:rsid w:val="006E69E8"/>
    <w:rsid w:val="006F0721"/>
    <w:rsid w:val="006F1818"/>
    <w:rsid w:val="006F1ABF"/>
    <w:rsid w:val="006F30C8"/>
    <w:rsid w:val="006F6087"/>
    <w:rsid w:val="006F62A5"/>
    <w:rsid w:val="00703763"/>
    <w:rsid w:val="00704101"/>
    <w:rsid w:val="00704279"/>
    <w:rsid w:val="007060CD"/>
    <w:rsid w:val="007079FA"/>
    <w:rsid w:val="00707F8B"/>
    <w:rsid w:val="00710734"/>
    <w:rsid w:val="007117D6"/>
    <w:rsid w:val="00712193"/>
    <w:rsid w:val="00713632"/>
    <w:rsid w:val="00716CA5"/>
    <w:rsid w:val="007171E5"/>
    <w:rsid w:val="0072049D"/>
    <w:rsid w:val="00720C6A"/>
    <w:rsid w:val="00722032"/>
    <w:rsid w:val="00723339"/>
    <w:rsid w:val="00723658"/>
    <w:rsid w:val="00723674"/>
    <w:rsid w:val="00730922"/>
    <w:rsid w:val="007367CC"/>
    <w:rsid w:val="007368D0"/>
    <w:rsid w:val="007377BF"/>
    <w:rsid w:val="00741612"/>
    <w:rsid w:val="007416B6"/>
    <w:rsid w:val="00741F05"/>
    <w:rsid w:val="00741F67"/>
    <w:rsid w:val="00743ADE"/>
    <w:rsid w:val="00745438"/>
    <w:rsid w:val="00745950"/>
    <w:rsid w:val="00745E54"/>
    <w:rsid w:val="00752828"/>
    <w:rsid w:val="007536CC"/>
    <w:rsid w:val="007561DB"/>
    <w:rsid w:val="00765855"/>
    <w:rsid w:val="00765F49"/>
    <w:rsid w:val="00766F76"/>
    <w:rsid w:val="00767D4E"/>
    <w:rsid w:val="00767F97"/>
    <w:rsid w:val="00773835"/>
    <w:rsid w:val="007750D5"/>
    <w:rsid w:val="00776813"/>
    <w:rsid w:val="00777409"/>
    <w:rsid w:val="00777E72"/>
    <w:rsid w:val="00780720"/>
    <w:rsid w:val="007810E3"/>
    <w:rsid w:val="00784A78"/>
    <w:rsid w:val="007860C2"/>
    <w:rsid w:val="007872BB"/>
    <w:rsid w:val="007917CB"/>
    <w:rsid w:val="00793186"/>
    <w:rsid w:val="00793843"/>
    <w:rsid w:val="007945C1"/>
    <w:rsid w:val="00795707"/>
    <w:rsid w:val="00795857"/>
    <w:rsid w:val="00796EF5"/>
    <w:rsid w:val="007A0706"/>
    <w:rsid w:val="007A0839"/>
    <w:rsid w:val="007A1FDB"/>
    <w:rsid w:val="007A3498"/>
    <w:rsid w:val="007A3AD7"/>
    <w:rsid w:val="007A542C"/>
    <w:rsid w:val="007A5D3F"/>
    <w:rsid w:val="007A6EF8"/>
    <w:rsid w:val="007B317D"/>
    <w:rsid w:val="007B392E"/>
    <w:rsid w:val="007B4020"/>
    <w:rsid w:val="007C03A5"/>
    <w:rsid w:val="007C04DF"/>
    <w:rsid w:val="007C2B5E"/>
    <w:rsid w:val="007C3179"/>
    <w:rsid w:val="007C3804"/>
    <w:rsid w:val="007C42EC"/>
    <w:rsid w:val="007C6131"/>
    <w:rsid w:val="007D11F0"/>
    <w:rsid w:val="007D1BB4"/>
    <w:rsid w:val="007D547F"/>
    <w:rsid w:val="007D5B4F"/>
    <w:rsid w:val="007D609D"/>
    <w:rsid w:val="007D62F3"/>
    <w:rsid w:val="007E51BC"/>
    <w:rsid w:val="007E5781"/>
    <w:rsid w:val="007E5B6C"/>
    <w:rsid w:val="007F01DD"/>
    <w:rsid w:val="007F0C2B"/>
    <w:rsid w:val="007F10E5"/>
    <w:rsid w:val="007F1E7A"/>
    <w:rsid w:val="007F209B"/>
    <w:rsid w:val="007F416F"/>
    <w:rsid w:val="007F6486"/>
    <w:rsid w:val="007F6B59"/>
    <w:rsid w:val="007F7B3A"/>
    <w:rsid w:val="008002E8"/>
    <w:rsid w:val="0080037A"/>
    <w:rsid w:val="00802543"/>
    <w:rsid w:val="00802AE2"/>
    <w:rsid w:val="00804F42"/>
    <w:rsid w:val="008076BB"/>
    <w:rsid w:val="00813A9C"/>
    <w:rsid w:val="0081451B"/>
    <w:rsid w:val="0081625A"/>
    <w:rsid w:val="0082079C"/>
    <w:rsid w:val="0082457B"/>
    <w:rsid w:val="00827D6E"/>
    <w:rsid w:val="00827FCC"/>
    <w:rsid w:val="0083333C"/>
    <w:rsid w:val="00834672"/>
    <w:rsid w:val="00841F9D"/>
    <w:rsid w:val="008420D1"/>
    <w:rsid w:val="008451D3"/>
    <w:rsid w:val="008457F8"/>
    <w:rsid w:val="00845DDF"/>
    <w:rsid w:val="00847313"/>
    <w:rsid w:val="00852558"/>
    <w:rsid w:val="00852C92"/>
    <w:rsid w:val="00853FF5"/>
    <w:rsid w:val="00854218"/>
    <w:rsid w:val="008545EF"/>
    <w:rsid w:val="00856BBD"/>
    <w:rsid w:val="008571BD"/>
    <w:rsid w:val="00860EAC"/>
    <w:rsid w:val="00860FA8"/>
    <w:rsid w:val="00862085"/>
    <w:rsid w:val="00862A2F"/>
    <w:rsid w:val="00862CCA"/>
    <w:rsid w:val="00864035"/>
    <w:rsid w:val="0086538E"/>
    <w:rsid w:val="00871628"/>
    <w:rsid w:val="00873A6C"/>
    <w:rsid w:val="008740AD"/>
    <w:rsid w:val="008748B0"/>
    <w:rsid w:val="00874DE6"/>
    <w:rsid w:val="00876895"/>
    <w:rsid w:val="00877416"/>
    <w:rsid w:val="00880159"/>
    <w:rsid w:val="00882FAA"/>
    <w:rsid w:val="00883C02"/>
    <w:rsid w:val="00884931"/>
    <w:rsid w:val="008858F5"/>
    <w:rsid w:val="00885B9C"/>
    <w:rsid w:val="008908D0"/>
    <w:rsid w:val="00890930"/>
    <w:rsid w:val="0089142D"/>
    <w:rsid w:val="00892489"/>
    <w:rsid w:val="00892DDD"/>
    <w:rsid w:val="00893815"/>
    <w:rsid w:val="00894601"/>
    <w:rsid w:val="008A016C"/>
    <w:rsid w:val="008A0D74"/>
    <w:rsid w:val="008A116B"/>
    <w:rsid w:val="008A1D56"/>
    <w:rsid w:val="008A2C45"/>
    <w:rsid w:val="008A2DF0"/>
    <w:rsid w:val="008A7B44"/>
    <w:rsid w:val="008B22C8"/>
    <w:rsid w:val="008B24F9"/>
    <w:rsid w:val="008B3DB4"/>
    <w:rsid w:val="008B5FAE"/>
    <w:rsid w:val="008B5FCF"/>
    <w:rsid w:val="008B605E"/>
    <w:rsid w:val="008B69A8"/>
    <w:rsid w:val="008B6DB2"/>
    <w:rsid w:val="008B74C5"/>
    <w:rsid w:val="008C01B1"/>
    <w:rsid w:val="008C0B38"/>
    <w:rsid w:val="008C119B"/>
    <w:rsid w:val="008C146F"/>
    <w:rsid w:val="008C393C"/>
    <w:rsid w:val="008C46A6"/>
    <w:rsid w:val="008C4EB7"/>
    <w:rsid w:val="008C68C8"/>
    <w:rsid w:val="008C77FE"/>
    <w:rsid w:val="008D0738"/>
    <w:rsid w:val="008D26FF"/>
    <w:rsid w:val="008D31A3"/>
    <w:rsid w:val="008D660F"/>
    <w:rsid w:val="008E23E7"/>
    <w:rsid w:val="008E314D"/>
    <w:rsid w:val="008E3530"/>
    <w:rsid w:val="008E4E29"/>
    <w:rsid w:val="008E6932"/>
    <w:rsid w:val="008F01B5"/>
    <w:rsid w:val="008F0548"/>
    <w:rsid w:val="008F1C92"/>
    <w:rsid w:val="008F43EA"/>
    <w:rsid w:val="008F58D3"/>
    <w:rsid w:val="008F62CD"/>
    <w:rsid w:val="008F6D3A"/>
    <w:rsid w:val="00900A7D"/>
    <w:rsid w:val="00903D76"/>
    <w:rsid w:val="00905C6F"/>
    <w:rsid w:val="00906026"/>
    <w:rsid w:val="00907A78"/>
    <w:rsid w:val="009111AA"/>
    <w:rsid w:val="00913755"/>
    <w:rsid w:val="0091577D"/>
    <w:rsid w:val="00925A74"/>
    <w:rsid w:val="00926042"/>
    <w:rsid w:val="009267F7"/>
    <w:rsid w:val="00930FD4"/>
    <w:rsid w:val="00932B8E"/>
    <w:rsid w:val="00933089"/>
    <w:rsid w:val="00933379"/>
    <w:rsid w:val="009338DF"/>
    <w:rsid w:val="00935767"/>
    <w:rsid w:val="0094059B"/>
    <w:rsid w:val="009439F8"/>
    <w:rsid w:val="00945315"/>
    <w:rsid w:val="00945B14"/>
    <w:rsid w:val="00945E12"/>
    <w:rsid w:val="0094678B"/>
    <w:rsid w:val="009502E0"/>
    <w:rsid w:val="00953CE8"/>
    <w:rsid w:val="00953DE9"/>
    <w:rsid w:val="00960633"/>
    <w:rsid w:val="0096189F"/>
    <w:rsid w:val="009637AF"/>
    <w:rsid w:val="0096463D"/>
    <w:rsid w:val="00964A67"/>
    <w:rsid w:val="00965CFE"/>
    <w:rsid w:val="00965F4D"/>
    <w:rsid w:val="0096719D"/>
    <w:rsid w:val="00970955"/>
    <w:rsid w:val="00972E4D"/>
    <w:rsid w:val="00973308"/>
    <w:rsid w:val="0097362C"/>
    <w:rsid w:val="00975243"/>
    <w:rsid w:val="009761EE"/>
    <w:rsid w:val="00976431"/>
    <w:rsid w:val="0097790C"/>
    <w:rsid w:val="00981B87"/>
    <w:rsid w:val="00981EDE"/>
    <w:rsid w:val="00982786"/>
    <w:rsid w:val="00983D0B"/>
    <w:rsid w:val="00984727"/>
    <w:rsid w:val="0098684C"/>
    <w:rsid w:val="00987333"/>
    <w:rsid w:val="009877E6"/>
    <w:rsid w:val="009908C1"/>
    <w:rsid w:val="009917DD"/>
    <w:rsid w:val="0099211F"/>
    <w:rsid w:val="00992286"/>
    <w:rsid w:val="0099387C"/>
    <w:rsid w:val="00995357"/>
    <w:rsid w:val="009955D2"/>
    <w:rsid w:val="00995C30"/>
    <w:rsid w:val="009A121A"/>
    <w:rsid w:val="009A2270"/>
    <w:rsid w:val="009A3446"/>
    <w:rsid w:val="009A38FC"/>
    <w:rsid w:val="009A3BDE"/>
    <w:rsid w:val="009A6B18"/>
    <w:rsid w:val="009B10BA"/>
    <w:rsid w:val="009B1CCF"/>
    <w:rsid w:val="009B3025"/>
    <w:rsid w:val="009B426F"/>
    <w:rsid w:val="009B5175"/>
    <w:rsid w:val="009B51C9"/>
    <w:rsid w:val="009B52F7"/>
    <w:rsid w:val="009B59D0"/>
    <w:rsid w:val="009C017F"/>
    <w:rsid w:val="009C0397"/>
    <w:rsid w:val="009C188D"/>
    <w:rsid w:val="009D0429"/>
    <w:rsid w:val="009D2628"/>
    <w:rsid w:val="009D3EA8"/>
    <w:rsid w:val="009D5642"/>
    <w:rsid w:val="009D665B"/>
    <w:rsid w:val="009D7F6C"/>
    <w:rsid w:val="009E0A66"/>
    <w:rsid w:val="009E0D53"/>
    <w:rsid w:val="009E228D"/>
    <w:rsid w:val="009E38E9"/>
    <w:rsid w:val="009E4834"/>
    <w:rsid w:val="009E5655"/>
    <w:rsid w:val="009E6CFA"/>
    <w:rsid w:val="009E6D12"/>
    <w:rsid w:val="009E6D9C"/>
    <w:rsid w:val="009F21A9"/>
    <w:rsid w:val="009F2B89"/>
    <w:rsid w:val="009F33C5"/>
    <w:rsid w:val="009F4E30"/>
    <w:rsid w:val="009F5163"/>
    <w:rsid w:val="009F5256"/>
    <w:rsid w:val="009F7262"/>
    <w:rsid w:val="00A00901"/>
    <w:rsid w:val="00A00E13"/>
    <w:rsid w:val="00A04041"/>
    <w:rsid w:val="00A04277"/>
    <w:rsid w:val="00A04EA3"/>
    <w:rsid w:val="00A06757"/>
    <w:rsid w:val="00A06CBB"/>
    <w:rsid w:val="00A07379"/>
    <w:rsid w:val="00A10830"/>
    <w:rsid w:val="00A11398"/>
    <w:rsid w:val="00A119C4"/>
    <w:rsid w:val="00A11C9A"/>
    <w:rsid w:val="00A1260E"/>
    <w:rsid w:val="00A12F89"/>
    <w:rsid w:val="00A13019"/>
    <w:rsid w:val="00A13B74"/>
    <w:rsid w:val="00A14400"/>
    <w:rsid w:val="00A14984"/>
    <w:rsid w:val="00A153D6"/>
    <w:rsid w:val="00A166A4"/>
    <w:rsid w:val="00A16E5E"/>
    <w:rsid w:val="00A170D7"/>
    <w:rsid w:val="00A2452B"/>
    <w:rsid w:val="00A25A9C"/>
    <w:rsid w:val="00A2760A"/>
    <w:rsid w:val="00A30740"/>
    <w:rsid w:val="00A33A1E"/>
    <w:rsid w:val="00A33CC1"/>
    <w:rsid w:val="00A34ACE"/>
    <w:rsid w:val="00A3584B"/>
    <w:rsid w:val="00A35E50"/>
    <w:rsid w:val="00A414A0"/>
    <w:rsid w:val="00A41BE5"/>
    <w:rsid w:val="00A4359F"/>
    <w:rsid w:val="00A44514"/>
    <w:rsid w:val="00A44678"/>
    <w:rsid w:val="00A458A2"/>
    <w:rsid w:val="00A46CE7"/>
    <w:rsid w:val="00A509B8"/>
    <w:rsid w:val="00A514E4"/>
    <w:rsid w:val="00A51586"/>
    <w:rsid w:val="00A522BA"/>
    <w:rsid w:val="00A5701A"/>
    <w:rsid w:val="00A57A6C"/>
    <w:rsid w:val="00A605BC"/>
    <w:rsid w:val="00A64377"/>
    <w:rsid w:val="00A65DA3"/>
    <w:rsid w:val="00A663FD"/>
    <w:rsid w:val="00A666E3"/>
    <w:rsid w:val="00A7202A"/>
    <w:rsid w:val="00A73755"/>
    <w:rsid w:val="00A74FAF"/>
    <w:rsid w:val="00A756CE"/>
    <w:rsid w:val="00A75B04"/>
    <w:rsid w:val="00A761AD"/>
    <w:rsid w:val="00A805C0"/>
    <w:rsid w:val="00A80E92"/>
    <w:rsid w:val="00A8221D"/>
    <w:rsid w:val="00A82D6D"/>
    <w:rsid w:val="00A83A30"/>
    <w:rsid w:val="00A87717"/>
    <w:rsid w:val="00A87F10"/>
    <w:rsid w:val="00A90AB0"/>
    <w:rsid w:val="00A90FC0"/>
    <w:rsid w:val="00A920A0"/>
    <w:rsid w:val="00A968CC"/>
    <w:rsid w:val="00AA39DC"/>
    <w:rsid w:val="00AA5590"/>
    <w:rsid w:val="00AA559D"/>
    <w:rsid w:val="00AA7A5B"/>
    <w:rsid w:val="00AB102C"/>
    <w:rsid w:val="00AB3D36"/>
    <w:rsid w:val="00AB4DD2"/>
    <w:rsid w:val="00AC0DDD"/>
    <w:rsid w:val="00AC2439"/>
    <w:rsid w:val="00AC442A"/>
    <w:rsid w:val="00AC45BA"/>
    <w:rsid w:val="00AC71C0"/>
    <w:rsid w:val="00AC76CF"/>
    <w:rsid w:val="00AD24F8"/>
    <w:rsid w:val="00AD25FC"/>
    <w:rsid w:val="00AD2757"/>
    <w:rsid w:val="00AD3118"/>
    <w:rsid w:val="00AD388A"/>
    <w:rsid w:val="00AD4636"/>
    <w:rsid w:val="00AD600B"/>
    <w:rsid w:val="00AD7672"/>
    <w:rsid w:val="00AD7757"/>
    <w:rsid w:val="00AE078B"/>
    <w:rsid w:val="00AE093F"/>
    <w:rsid w:val="00AE1739"/>
    <w:rsid w:val="00AE2A52"/>
    <w:rsid w:val="00AE317F"/>
    <w:rsid w:val="00AE3ABE"/>
    <w:rsid w:val="00AE434D"/>
    <w:rsid w:val="00AE4356"/>
    <w:rsid w:val="00AE4A41"/>
    <w:rsid w:val="00AE4AD8"/>
    <w:rsid w:val="00AE7E04"/>
    <w:rsid w:val="00AF0847"/>
    <w:rsid w:val="00AF0DFD"/>
    <w:rsid w:val="00AF15E6"/>
    <w:rsid w:val="00AF2BF9"/>
    <w:rsid w:val="00AF30C9"/>
    <w:rsid w:val="00AF6F55"/>
    <w:rsid w:val="00AF729F"/>
    <w:rsid w:val="00B00BF5"/>
    <w:rsid w:val="00B025C4"/>
    <w:rsid w:val="00B03E2A"/>
    <w:rsid w:val="00B05CD7"/>
    <w:rsid w:val="00B0647A"/>
    <w:rsid w:val="00B06A9B"/>
    <w:rsid w:val="00B07B2B"/>
    <w:rsid w:val="00B102FB"/>
    <w:rsid w:val="00B1189E"/>
    <w:rsid w:val="00B14577"/>
    <w:rsid w:val="00B15214"/>
    <w:rsid w:val="00B15C05"/>
    <w:rsid w:val="00B16463"/>
    <w:rsid w:val="00B16DD3"/>
    <w:rsid w:val="00B17A38"/>
    <w:rsid w:val="00B2046D"/>
    <w:rsid w:val="00B2056B"/>
    <w:rsid w:val="00B210E0"/>
    <w:rsid w:val="00B24618"/>
    <w:rsid w:val="00B2779F"/>
    <w:rsid w:val="00B3016C"/>
    <w:rsid w:val="00B30383"/>
    <w:rsid w:val="00B31CA0"/>
    <w:rsid w:val="00B325EA"/>
    <w:rsid w:val="00B3552A"/>
    <w:rsid w:val="00B35D57"/>
    <w:rsid w:val="00B363E5"/>
    <w:rsid w:val="00B3688A"/>
    <w:rsid w:val="00B37BF1"/>
    <w:rsid w:val="00B40F92"/>
    <w:rsid w:val="00B43EC0"/>
    <w:rsid w:val="00B44661"/>
    <w:rsid w:val="00B446F9"/>
    <w:rsid w:val="00B4643E"/>
    <w:rsid w:val="00B467A4"/>
    <w:rsid w:val="00B4772B"/>
    <w:rsid w:val="00B514AD"/>
    <w:rsid w:val="00B521F5"/>
    <w:rsid w:val="00B52A99"/>
    <w:rsid w:val="00B52E5A"/>
    <w:rsid w:val="00B54028"/>
    <w:rsid w:val="00B55CC6"/>
    <w:rsid w:val="00B56273"/>
    <w:rsid w:val="00B5752B"/>
    <w:rsid w:val="00B605F7"/>
    <w:rsid w:val="00B60BFC"/>
    <w:rsid w:val="00B60CD9"/>
    <w:rsid w:val="00B618F4"/>
    <w:rsid w:val="00B61FC1"/>
    <w:rsid w:val="00B637A0"/>
    <w:rsid w:val="00B64D24"/>
    <w:rsid w:val="00B64F77"/>
    <w:rsid w:val="00B65701"/>
    <w:rsid w:val="00B66FF0"/>
    <w:rsid w:val="00B70289"/>
    <w:rsid w:val="00B7514E"/>
    <w:rsid w:val="00B754A1"/>
    <w:rsid w:val="00B76156"/>
    <w:rsid w:val="00B812CC"/>
    <w:rsid w:val="00B82063"/>
    <w:rsid w:val="00B82329"/>
    <w:rsid w:val="00B82E97"/>
    <w:rsid w:val="00B82F19"/>
    <w:rsid w:val="00B83ACE"/>
    <w:rsid w:val="00B8729A"/>
    <w:rsid w:val="00B910A7"/>
    <w:rsid w:val="00B91955"/>
    <w:rsid w:val="00B92E33"/>
    <w:rsid w:val="00B93415"/>
    <w:rsid w:val="00B9394F"/>
    <w:rsid w:val="00B959A6"/>
    <w:rsid w:val="00B979EB"/>
    <w:rsid w:val="00B97E3C"/>
    <w:rsid w:val="00BA1F2A"/>
    <w:rsid w:val="00BA7FCA"/>
    <w:rsid w:val="00BB0A35"/>
    <w:rsid w:val="00BB199B"/>
    <w:rsid w:val="00BB300B"/>
    <w:rsid w:val="00BB5476"/>
    <w:rsid w:val="00BB5CC1"/>
    <w:rsid w:val="00BB633F"/>
    <w:rsid w:val="00BB63DF"/>
    <w:rsid w:val="00BB6E26"/>
    <w:rsid w:val="00BB7394"/>
    <w:rsid w:val="00BB73C1"/>
    <w:rsid w:val="00BB7C6C"/>
    <w:rsid w:val="00BC0287"/>
    <w:rsid w:val="00BC18CC"/>
    <w:rsid w:val="00BC2193"/>
    <w:rsid w:val="00BC3108"/>
    <w:rsid w:val="00BC6D35"/>
    <w:rsid w:val="00BC7B0E"/>
    <w:rsid w:val="00BC7D89"/>
    <w:rsid w:val="00BD044D"/>
    <w:rsid w:val="00BD5523"/>
    <w:rsid w:val="00BD6431"/>
    <w:rsid w:val="00BD6AE8"/>
    <w:rsid w:val="00BE0028"/>
    <w:rsid w:val="00BE33EA"/>
    <w:rsid w:val="00BE4366"/>
    <w:rsid w:val="00BE4880"/>
    <w:rsid w:val="00BE5A04"/>
    <w:rsid w:val="00BE6B94"/>
    <w:rsid w:val="00BE78CC"/>
    <w:rsid w:val="00BE7AB2"/>
    <w:rsid w:val="00BF2445"/>
    <w:rsid w:val="00BF3957"/>
    <w:rsid w:val="00BF5F5E"/>
    <w:rsid w:val="00BF6691"/>
    <w:rsid w:val="00BF7C2B"/>
    <w:rsid w:val="00C00BF8"/>
    <w:rsid w:val="00C00C4A"/>
    <w:rsid w:val="00C02EC9"/>
    <w:rsid w:val="00C04832"/>
    <w:rsid w:val="00C104CC"/>
    <w:rsid w:val="00C10FF8"/>
    <w:rsid w:val="00C111BD"/>
    <w:rsid w:val="00C13791"/>
    <w:rsid w:val="00C14270"/>
    <w:rsid w:val="00C144ED"/>
    <w:rsid w:val="00C1740B"/>
    <w:rsid w:val="00C23246"/>
    <w:rsid w:val="00C24420"/>
    <w:rsid w:val="00C260E9"/>
    <w:rsid w:val="00C26DAA"/>
    <w:rsid w:val="00C310F7"/>
    <w:rsid w:val="00C31EB8"/>
    <w:rsid w:val="00C34A8B"/>
    <w:rsid w:val="00C34C51"/>
    <w:rsid w:val="00C358AA"/>
    <w:rsid w:val="00C371CD"/>
    <w:rsid w:val="00C37C19"/>
    <w:rsid w:val="00C406BC"/>
    <w:rsid w:val="00C407D9"/>
    <w:rsid w:val="00C408CF"/>
    <w:rsid w:val="00C418D2"/>
    <w:rsid w:val="00C45477"/>
    <w:rsid w:val="00C45C1E"/>
    <w:rsid w:val="00C46BB8"/>
    <w:rsid w:val="00C532E7"/>
    <w:rsid w:val="00C53734"/>
    <w:rsid w:val="00C6047E"/>
    <w:rsid w:val="00C63F28"/>
    <w:rsid w:val="00C66D71"/>
    <w:rsid w:val="00C66EB0"/>
    <w:rsid w:val="00C700B9"/>
    <w:rsid w:val="00C700F9"/>
    <w:rsid w:val="00C732B4"/>
    <w:rsid w:val="00C73438"/>
    <w:rsid w:val="00C73576"/>
    <w:rsid w:val="00C73DA4"/>
    <w:rsid w:val="00C745DC"/>
    <w:rsid w:val="00C775BE"/>
    <w:rsid w:val="00C77EF1"/>
    <w:rsid w:val="00C80CDF"/>
    <w:rsid w:val="00C8427E"/>
    <w:rsid w:val="00C846A3"/>
    <w:rsid w:val="00C873E3"/>
    <w:rsid w:val="00C90011"/>
    <w:rsid w:val="00C91120"/>
    <w:rsid w:val="00C923CC"/>
    <w:rsid w:val="00C931A2"/>
    <w:rsid w:val="00C94ED4"/>
    <w:rsid w:val="00C955A4"/>
    <w:rsid w:val="00C95C4C"/>
    <w:rsid w:val="00C96EA8"/>
    <w:rsid w:val="00C97404"/>
    <w:rsid w:val="00CA0474"/>
    <w:rsid w:val="00CA0D5C"/>
    <w:rsid w:val="00CA2B1D"/>
    <w:rsid w:val="00CA32CD"/>
    <w:rsid w:val="00CA36C7"/>
    <w:rsid w:val="00CA3D37"/>
    <w:rsid w:val="00CB24BD"/>
    <w:rsid w:val="00CB30C1"/>
    <w:rsid w:val="00CB5470"/>
    <w:rsid w:val="00CB5FB6"/>
    <w:rsid w:val="00CC0F66"/>
    <w:rsid w:val="00CC16E1"/>
    <w:rsid w:val="00CC1903"/>
    <w:rsid w:val="00CC2BC5"/>
    <w:rsid w:val="00CC3B47"/>
    <w:rsid w:val="00CC3BF7"/>
    <w:rsid w:val="00CC5760"/>
    <w:rsid w:val="00CC5821"/>
    <w:rsid w:val="00CC5D86"/>
    <w:rsid w:val="00CC70D6"/>
    <w:rsid w:val="00CC77E9"/>
    <w:rsid w:val="00CD089F"/>
    <w:rsid w:val="00CD1E81"/>
    <w:rsid w:val="00CD3A02"/>
    <w:rsid w:val="00CD5058"/>
    <w:rsid w:val="00CD5B36"/>
    <w:rsid w:val="00CD6CE0"/>
    <w:rsid w:val="00CD7259"/>
    <w:rsid w:val="00CE0655"/>
    <w:rsid w:val="00CE2FE4"/>
    <w:rsid w:val="00CE3990"/>
    <w:rsid w:val="00CE4320"/>
    <w:rsid w:val="00CE5B12"/>
    <w:rsid w:val="00CE5BFE"/>
    <w:rsid w:val="00CE6E46"/>
    <w:rsid w:val="00CF537A"/>
    <w:rsid w:val="00D02D35"/>
    <w:rsid w:val="00D02E67"/>
    <w:rsid w:val="00D02E82"/>
    <w:rsid w:val="00D039C7"/>
    <w:rsid w:val="00D0474A"/>
    <w:rsid w:val="00D054BE"/>
    <w:rsid w:val="00D13E3D"/>
    <w:rsid w:val="00D16005"/>
    <w:rsid w:val="00D17DB8"/>
    <w:rsid w:val="00D211BB"/>
    <w:rsid w:val="00D22399"/>
    <w:rsid w:val="00D22422"/>
    <w:rsid w:val="00D2324A"/>
    <w:rsid w:val="00D2329B"/>
    <w:rsid w:val="00D30560"/>
    <w:rsid w:val="00D36DFC"/>
    <w:rsid w:val="00D37190"/>
    <w:rsid w:val="00D43054"/>
    <w:rsid w:val="00D45256"/>
    <w:rsid w:val="00D4541D"/>
    <w:rsid w:val="00D46D7B"/>
    <w:rsid w:val="00D47C7C"/>
    <w:rsid w:val="00D47E63"/>
    <w:rsid w:val="00D500FD"/>
    <w:rsid w:val="00D50861"/>
    <w:rsid w:val="00D51F11"/>
    <w:rsid w:val="00D528CC"/>
    <w:rsid w:val="00D5305F"/>
    <w:rsid w:val="00D537B1"/>
    <w:rsid w:val="00D54450"/>
    <w:rsid w:val="00D55376"/>
    <w:rsid w:val="00D57389"/>
    <w:rsid w:val="00D61705"/>
    <w:rsid w:val="00D6314A"/>
    <w:rsid w:val="00D669DD"/>
    <w:rsid w:val="00D66D12"/>
    <w:rsid w:val="00D708B3"/>
    <w:rsid w:val="00D719A3"/>
    <w:rsid w:val="00D72009"/>
    <w:rsid w:val="00D73D3F"/>
    <w:rsid w:val="00D74656"/>
    <w:rsid w:val="00D75710"/>
    <w:rsid w:val="00D75D98"/>
    <w:rsid w:val="00D77639"/>
    <w:rsid w:val="00D778B8"/>
    <w:rsid w:val="00D8002B"/>
    <w:rsid w:val="00D80BE3"/>
    <w:rsid w:val="00D8170F"/>
    <w:rsid w:val="00D83691"/>
    <w:rsid w:val="00D868D0"/>
    <w:rsid w:val="00D86A1C"/>
    <w:rsid w:val="00D870B6"/>
    <w:rsid w:val="00D90758"/>
    <w:rsid w:val="00D920FF"/>
    <w:rsid w:val="00D9382E"/>
    <w:rsid w:val="00D93C96"/>
    <w:rsid w:val="00D943CF"/>
    <w:rsid w:val="00D944C1"/>
    <w:rsid w:val="00D95C93"/>
    <w:rsid w:val="00D97B68"/>
    <w:rsid w:val="00D97EBE"/>
    <w:rsid w:val="00DA1F06"/>
    <w:rsid w:val="00DA2134"/>
    <w:rsid w:val="00DA5C25"/>
    <w:rsid w:val="00DA6305"/>
    <w:rsid w:val="00DB03FD"/>
    <w:rsid w:val="00DB119D"/>
    <w:rsid w:val="00DB121F"/>
    <w:rsid w:val="00DC08AC"/>
    <w:rsid w:val="00DC236F"/>
    <w:rsid w:val="00DC29E4"/>
    <w:rsid w:val="00DC5306"/>
    <w:rsid w:val="00DC62E1"/>
    <w:rsid w:val="00DC6E19"/>
    <w:rsid w:val="00DC70D9"/>
    <w:rsid w:val="00DC75BB"/>
    <w:rsid w:val="00DC7756"/>
    <w:rsid w:val="00DD4863"/>
    <w:rsid w:val="00DD64C2"/>
    <w:rsid w:val="00DE0472"/>
    <w:rsid w:val="00DE2353"/>
    <w:rsid w:val="00DE27EE"/>
    <w:rsid w:val="00DE3E1D"/>
    <w:rsid w:val="00DE3EAE"/>
    <w:rsid w:val="00DE4B32"/>
    <w:rsid w:val="00DE5B94"/>
    <w:rsid w:val="00DE64E9"/>
    <w:rsid w:val="00DE76C3"/>
    <w:rsid w:val="00DF04AC"/>
    <w:rsid w:val="00DF1ED4"/>
    <w:rsid w:val="00DF272F"/>
    <w:rsid w:val="00DF6019"/>
    <w:rsid w:val="00DF6D69"/>
    <w:rsid w:val="00E00C28"/>
    <w:rsid w:val="00E00E01"/>
    <w:rsid w:val="00E02112"/>
    <w:rsid w:val="00E03867"/>
    <w:rsid w:val="00E06FB7"/>
    <w:rsid w:val="00E11E19"/>
    <w:rsid w:val="00E1218B"/>
    <w:rsid w:val="00E13DA5"/>
    <w:rsid w:val="00E16B08"/>
    <w:rsid w:val="00E20221"/>
    <w:rsid w:val="00E22006"/>
    <w:rsid w:val="00E22697"/>
    <w:rsid w:val="00E24748"/>
    <w:rsid w:val="00E25343"/>
    <w:rsid w:val="00E262DA"/>
    <w:rsid w:val="00E26707"/>
    <w:rsid w:val="00E27302"/>
    <w:rsid w:val="00E3139C"/>
    <w:rsid w:val="00E331D0"/>
    <w:rsid w:val="00E346E8"/>
    <w:rsid w:val="00E35C43"/>
    <w:rsid w:val="00E36275"/>
    <w:rsid w:val="00E36511"/>
    <w:rsid w:val="00E41F49"/>
    <w:rsid w:val="00E4354B"/>
    <w:rsid w:val="00E43E8D"/>
    <w:rsid w:val="00E447DA"/>
    <w:rsid w:val="00E44DCB"/>
    <w:rsid w:val="00E459C7"/>
    <w:rsid w:val="00E468A6"/>
    <w:rsid w:val="00E47B50"/>
    <w:rsid w:val="00E5235F"/>
    <w:rsid w:val="00E53D31"/>
    <w:rsid w:val="00E54EA5"/>
    <w:rsid w:val="00E56F0D"/>
    <w:rsid w:val="00E6104D"/>
    <w:rsid w:val="00E61259"/>
    <w:rsid w:val="00E6230D"/>
    <w:rsid w:val="00E63765"/>
    <w:rsid w:val="00E65952"/>
    <w:rsid w:val="00E65C96"/>
    <w:rsid w:val="00E65FA2"/>
    <w:rsid w:val="00E664CF"/>
    <w:rsid w:val="00E66B56"/>
    <w:rsid w:val="00E66EEB"/>
    <w:rsid w:val="00E67397"/>
    <w:rsid w:val="00E6775C"/>
    <w:rsid w:val="00E701CF"/>
    <w:rsid w:val="00E708A4"/>
    <w:rsid w:val="00E70AE1"/>
    <w:rsid w:val="00E70FFB"/>
    <w:rsid w:val="00E71D0B"/>
    <w:rsid w:val="00E72F87"/>
    <w:rsid w:val="00E740EA"/>
    <w:rsid w:val="00E76645"/>
    <w:rsid w:val="00E8016C"/>
    <w:rsid w:val="00E81DA6"/>
    <w:rsid w:val="00E90719"/>
    <w:rsid w:val="00E934B0"/>
    <w:rsid w:val="00E93C98"/>
    <w:rsid w:val="00E94D1A"/>
    <w:rsid w:val="00E9503D"/>
    <w:rsid w:val="00E96AC1"/>
    <w:rsid w:val="00E96DD8"/>
    <w:rsid w:val="00E97153"/>
    <w:rsid w:val="00E97A39"/>
    <w:rsid w:val="00EA1915"/>
    <w:rsid w:val="00EA1E6A"/>
    <w:rsid w:val="00EA3CC6"/>
    <w:rsid w:val="00EA4194"/>
    <w:rsid w:val="00EA5CC2"/>
    <w:rsid w:val="00EA7EAF"/>
    <w:rsid w:val="00EB0399"/>
    <w:rsid w:val="00EB0F5C"/>
    <w:rsid w:val="00EB149C"/>
    <w:rsid w:val="00EB2ECF"/>
    <w:rsid w:val="00EB3BE1"/>
    <w:rsid w:val="00EB46F5"/>
    <w:rsid w:val="00EB5649"/>
    <w:rsid w:val="00EB647B"/>
    <w:rsid w:val="00EC0977"/>
    <w:rsid w:val="00EC26E4"/>
    <w:rsid w:val="00EC2AF0"/>
    <w:rsid w:val="00EC43E4"/>
    <w:rsid w:val="00EC491E"/>
    <w:rsid w:val="00EC5F4C"/>
    <w:rsid w:val="00EC66A6"/>
    <w:rsid w:val="00EC774C"/>
    <w:rsid w:val="00ED0862"/>
    <w:rsid w:val="00ED17F1"/>
    <w:rsid w:val="00ED27DA"/>
    <w:rsid w:val="00ED2EC2"/>
    <w:rsid w:val="00ED3001"/>
    <w:rsid w:val="00ED386B"/>
    <w:rsid w:val="00ED6D68"/>
    <w:rsid w:val="00EE0320"/>
    <w:rsid w:val="00EE10DF"/>
    <w:rsid w:val="00EE7733"/>
    <w:rsid w:val="00EF5616"/>
    <w:rsid w:val="00EF7003"/>
    <w:rsid w:val="00F001DF"/>
    <w:rsid w:val="00F00DDE"/>
    <w:rsid w:val="00F02272"/>
    <w:rsid w:val="00F05D4D"/>
    <w:rsid w:val="00F069E7"/>
    <w:rsid w:val="00F112CA"/>
    <w:rsid w:val="00F1263A"/>
    <w:rsid w:val="00F134D5"/>
    <w:rsid w:val="00F13844"/>
    <w:rsid w:val="00F16FA7"/>
    <w:rsid w:val="00F2208A"/>
    <w:rsid w:val="00F23B53"/>
    <w:rsid w:val="00F25004"/>
    <w:rsid w:val="00F2576A"/>
    <w:rsid w:val="00F26444"/>
    <w:rsid w:val="00F267B4"/>
    <w:rsid w:val="00F2771D"/>
    <w:rsid w:val="00F27EAB"/>
    <w:rsid w:val="00F36B57"/>
    <w:rsid w:val="00F406BC"/>
    <w:rsid w:val="00F40C4B"/>
    <w:rsid w:val="00F42431"/>
    <w:rsid w:val="00F43EFE"/>
    <w:rsid w:val="00F44A20"/>
    <w:rsid w:val="00F53058"/>
    <w:rsid w:val="00F547B5"/>
    <w:rsid w:val="00F55E01"/>
    <w:rsid w:val="00F61102"/>
    <w:rsid w:val="00F61CD7"/>
    <w:rsid w:val="00F631B5"/>
    <w:rsid w:val="00F63A51"/>
    <w:rsid w:val="00F647C7"/>
    <w:rsid w:val="00F65BA7"/>
    <w:rsid w:val="00F665B0"/>
    <w:rsid w:val="00F6778B"/>
    <w:rsid w:val="00F7034B"/>
    <w:rsid w:val="00F70861"/>
    <w:rsid w:val="00F72986"/>
    <w:rsid w:val="00F742A6"/>
    <w:rsid w:val="00F74485"/>
    <w:rsid w:val="00F744FE"/>
    <w:rsid w:val="00F75BCB"/>
    <w:rsid w:val="00F75F92"/>
    <w:rsid w:val="00F76068"/>
    <w:rsid w:val="00F763C9"/>
    <w:rsid w:val="00F763EC"/>
    <w:rsid w:val="00F76556"/>
    <w:rsid w:val="00F800FC"/>
    <w:rsid w:val="00F80E73"/>
    <w:rsid w:val="00F87207"/>
    <w:rsid w:val="00F90D37"/>
    <w:rsid w:val="00F92EA8"/>
    <w:rsid w:val="00F9370A"/>
    <w:rsid w:val="00F949C6"/>
    <w:rsid w:val="00F95516"/>
    <w:rsid w:val="00F9570D"/>
    <w:rsid w:val="00F96D88"/>
    <w:rsid w:val="00FA1CE2"/>
    <w:rsid w:val="00FA61A1"/>
    <w:rsid w:val="00FA6322"/>
    <w:rsid w:val="00FA7240"/>
    <w:rsid w:val="00FB2319"/>
    <w:rsid w:val="00FB298F"/>
    <w:rsid w:val="00FB31EB"/>
    <w:rsid w:val="00FB5098"/>
    <w:rsid w:val="00FB6B72"/>
    <w:rsid w:val="00FC00BC"/>
    <w:rsid w:val="00FC180F"/>
    <w:rsid w:val="00FC29A0"/>
    <w:rsid w:val="00FC630E"/>
    <w:rsid w:val="00FC6C32"/>
    <w:rsid w:val="00FC7BD2"/>
    <w:rsid w:val="00FD2EA2"/>
    <w:rsid w:val="00FD3B17"/>
    <w:rsid w:val="00FD43C0"/>
    <w:rsid w:val="00FD487C"/>
    <w:rsid w:val="00FD50BB"/>
    <w:rsid w:val="00FD5809"/>
    <w:rsid w:val="00FE099A"/>
    <w:rsid w:val="00FE3229"/>
    <w:rsid w:val="00FE4829"/>
    <w:rsid w:val="00FE4B74"/>
    <w:rsid w:val="00FE59B5"/>
    <w:rsid w:val="00FE6A4E"/>
    <w:rsid w:val="00FE7B09"/>
    <w:rsid w:val="00FF08E9"/>
    <w:rsid w:val="00FF1373"/>
    <w:rsid w:val="00FF3C37"/>
    <w:rsid w:val="00FF5F72"/>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743B8"/>
  <w15:docId w15:val="{1481C88C-E7C6-4C30-A1CA-46386006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569"/>
    <w:rPr>
      <w:rFonts w:ascii="Calibri" w:eastAsia="Times New Roman" w:hAnsi="Calibri" w:cs="Times New Roman"/>
      <w:lang w:eastAsia="es-CO"/>
    </w:rPr>
  </w:style>
  <w:style w:type="paragraph" w:styleId="Ttulo1">
    <w:name w:val="heading 1"/>
    <w:basedOn w:val="Normal"/>
    <w:link w:val="Ttulo1Car"/>
    <w:uiPriority w:val="1"/>
    <w:qFormat/>
    <w:rsid w:val="00EC5F4C"/>
    <w:pPr>
      <w:widowControl w:val="0"/>
      <w:autoSpaceDE w:val="0"/>
      <w:autoSpaceDN w:val="0"/>
      <w:spacing w:before="83" w:after="0" w:line="240" w:lineRule="auto"/>
      <w:ind w:left="74"/>
      <w:jc w:val="center"/>
      <w:outlineLvl w:val="0"/>
    </w:pPr>
    <w:rPr>
      <w:rFonts w:ascii="Times New Roman" w:hAnsi="Times New Roman"/>
      <w:sz w:val="40"/>
      <w:szCs w:val="40"/>
      <w:lang w:val="es-ES" w:eastAsia="es-ES" w:bidi="es-ES"/>
    </w:rPr>
  </w:style>
  <w:style w:type="paragraph" w:styleId="Ttulo2">
    <w:name w:val="heading 2"/>
    <w:basedOn w:val="Normal"/>
    <w:link w:val="Ttulo2Car"/>
    <w:uiPriority w:val="1"/>
    <w:qFormat/>
    <w:rsid w:val="00EC5F4C"/>
    <w:pPr>
      <w:widowControl w:val="0"/>
      <w:autoSpaceDE w:val="0"/>
      <w:autoSpaceDN w:val="0"/>
      <w:spacing w:before="42" w:after="0" w:line="240" w:lineRule="auto"/>
      <w:ind w:left="437"/>
      <w:outlineLvl w:val="1"/>
    </w:pPr>
    <w:rPr>
      <w:rFonts w:ascii="Times New Roman" w:hAnsi="Times New Roman"/>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6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569"/>
    <w:rPr>
      <w:rFonts w:ascii="Calibri" w:eastAsia="Times New Roman" w:hAnsi="Calibri" w:cs="Times New Roman"/>
      <w:lang w:eastAsia="es-CO"/>
    </w:rPr>
  </w:style>
  <w:style w:type="paragraph" w:styleId="Piedepgina">
    <w:name w:val="footer"/>
    <w:basedOn w:val="Normal"/>
    <w:link w:val="PiedepginaCar"/>
    <w:uiPriority w:val="99"/>
    <w:rsid w:val="00266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569"/>
    <w:rPr>
      <w:rFonts w:ascii="Calibri" w:eastAsia="Times New Roman" w:hAnsi="Calibri" w:cs="Times New Roman"/>
      <w:lang w:eastAsia="es-CO"/>
    </w:rPr>
  </w:style>
  <w:style w:type="paragraph" w:customStyle="1" w:styleId="Listavistosa-nfasis11">
    <w:name w:val="Lista vistosa - Énfasis 11"/>
    <w:basedOn w:val="Normal"/>
    <w:uiPriority w:val="99"/>
    <w:qFormat/>
    <w:rsid w:val="00266569"/>
    <w:pPr>
      <w:ind w:left="720"/>
      <w:contextualSpacing/>
    </w:pPr>
  </w:style>
  <w:style w:type="paragraph" w:customStyle="1" w:styleId="Sinespaciado1">
    <w:name w:val="Sin espaciado1"/>
    <w:uiPriority w:val="99"/>
    <w:qFormat/>
    <w:rsid w:val="00266569"/>
    <w:pPr>
      <w:spacing w:after="0" w:line="240" w:lineRule="auto"/>
    </w:pPr>
    <w:rPr>
      <w:rFonts w:ascii="Calibri" w:eastAsia="Times New Roman" w:hAnsi="Calibri" w:cs="Times New Roman"/>
      <w:lang w:eastAsia="es-CO"/>
    </w:rPr>
  </w:style>
  <w:style w:type="paragraph" w:styleId="Prrafodelista">
    <w:name w:val="List Paragraph"/>
    <w:basedOn w:val="Normal"/>
    <w:uiPriority w:val="1"/>
    <w:qFormat/>
    <w:rsid w:val="00A756CE"/>
    <w:pPr>
      <w:ind w:left="720"/>
      <w:contextualSpacing/>
    </w:pPr>
  </w:style>
  <w:style w:type="paragraph" w:styleId="Textonotaalfinal">
    <w:name w:val="endnote text"/>
    <w:basedOn w:val="Normal"/>
    <w:link w:val="TextonotaalfinalCar"/>
    <w:uiPriority w:val="99"/>
    <w:semiHidden/>
    <w:unhideWhenUsed/>
    <w:rsid w:val="000A5F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5F1D"/>
    <w:rPr>
      <w:rFonts w:ascii="Calibri" w:eastAsia="Times New Roman" w:hAnsi="Calibri" w:cs="Times New Roman"/>
      <w:sz w:val="20"/>
      <w:szCs w:val="20"/>
      <w:lang w:eastAsia="es-CO"/>
    </w:rPr>
  </w:style>
  <w:style w:type="character" w:styleId="Refdenotaalfinal">
    <w:name w:val="endnote reference"/>
    <w:basedOn w:val="Fuentedeprrafopredeter"/>
    <w:uiPriority w:val="99"/>
    <w:semiHidden/>
    <w:unhideWhenUsed/>
    <w:rsid w:val="000A5F1D"/>
    <w:rPr>
      <w:vertAlign w:val="superscript"/>
    </w:rPr>
  </w:style>
  <w:style w:type="paragraph" w:styleId="Textonotapie">
    <w:name w:val="footnote text"/>
    <w:basedOn w:val="Normal"/>
    <w:link w:val="TextonotapieCar"/>
    <w:uiPriority w:val="99"/>
    <w:unhideWhenUsed/>
    <w:rsid w:val="000A5F1D"/>
    <w:pPr>
      <w:spacing w:after="0" w:line="240" w:lineRule="auto"/>
    </w:pPr>
    <w:rPr>
      <w:sz w:val="20"/>
      <w:szCs w:val="20"/>
    </w:rPr>
  </w:style>
  <w:style w:type="character" w:customStyle="1" w:styleId="TextonotapieCar">
    <w:name w:val="Texto nota pie Car"/>
    <w:basedOn w:val="Fuentedeprrafopredeter"/>
    <w:link w:val="Textonotapie"/>
    <w:uiPriority w:val="99"/>
    <w:rsid w:val="000A5F1D"/>
    <w:rPr>
      <w:rFonts w:ascii="Calibri" w:eastAsia="Times New Roman" w:hAnsi="Calibri" w:cs="Times New Roman"/>
      <w:sz w:val="20"/>
      <w:szCs w:val="20"/>
      <w:lang w:eastAsia="es-CO"/>
    </w:rPr>
  </w:style>
  <w:style w:type="character" w:styleId="Refdenotaalpie">
    <w:name w:val="footnote reference"/>
    <w:basedOn w:val="Fuentedeprrafopredeter"/>
    <w:uiPriority w:val="99"/>
    <w:semiHidden/>
    <w:unhideWhenUsed/>
    <w:rsid w:val="000A5F1D"/>
    <w:rPr>
      <w:vertAlign w:val="superscript"/>
    </w:rPr>
  </w:style>
  <w:style w:type="paragraph" w:customStyle="1" w:styleId="Car">
    <w:name w:val="Car"/>
    <w:basedOn w:val="Normal"/>
    <w:rsid w:val="00562959"/>
    <w:pPr>
      <w:spacing w:after="160" w:line="240" w:lineRule="exact"/>
    </w:pPr>
    <w:rPr>
      <w:rFonts w:ascii="Times New Roman" w:hAnsi="Times New Roman"/>
      <w:noProof/>
      <w:color w:val="000000"/>
      <w:sz w:val="20"/>
      <w:szCs w:val="20"/>
    </w:rPr>
  </w:style>
  <w:style w:type="paragraph" w:styleId="Textodeglobo">
    <w:name w:val="Balloon Text"/>
    <w:basedOn w:val="Normal"/>
    <w:link w:val="TextodegloboCar"/>
    <w:uiPriority w:val="99"/>
    <w:semiHidden/>
    <w:unhideWhenUsed/>
    <w:rsid w:val="00C31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0F7"/>
    <w:rPr>
      <w:rFonts w:ascii="Tahoma" w:eastAsia="Times New Roman" w:hAnsi="Tahoma" w:cs="Tahoma"/>
      <w:sz w:val="16"/>
      <w:szCs w:val="16"/>
      <w:lang w:eastAsia="es-CO"/>
    </w:rPr>
  </w:style>
  <w:style w:type="table" w:styleId="Tablaconcuadrcula">
    <w:name w:val="Table Grid"/>
    <w:basedOn w:val="Tablanormal"/>
    <w:uiPriority w:val="59"/>
    <w:rsid w:val="00CC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5821"/>
    <w:pPr>
      <w:spacing w:before="100" w:beforeAutospacing="1" w:after="100" w:afterAutospacing="1" w:line="240" w:lineRule="auto"/>
    </w:pPr>
    <w:rPr>
      <w:rFonts w:ascii="Times New Roman" w:hAnsi="Times New Roman"/>
    </w:rPr>
  </w:style>
  <w:style w:type="character" w:customStyle="1" w:styleId="apple-converted-space">
    <w:name w:val="apple-converted-space"/>
    <w:basedOn w:val="Fuentedeprrafopredeter"/>
    <w:rsid w:val="000D0D97"/>
  </w:style>
  <w:style w:type="paragraph" w:styleId="Descripcin">
    <w:name w:val="caption"/>
    <w:basedOn w:val="Normal"/>
    <w:next w:val="Normal"/>
    <w:uiPriority w:val="35"/>
    <w:unhideWhenUsed/>
    <w:qFormat/>
    <w:rsid w:val="00591608"/>
    <w:pPr>
      <w:spacing w:line="240" w:lineRule="auto"/>
    </w:pPr>
    <w:rPr>
      <w:b/>
      <w:bCs/>
      <w:color w:val="4F81BD" w:themeColor="accent1"/>
      <w:sz w:val="18"/>
      <w:szCs w:val="18"/>
    </w:rPr>
  </w:style>
  <w:style w:type="paragraph" w:styleId="Sinespaciado">
    <w:name w:val="No Spacing"/>
    <w:uiPriority w:val="1"/>
    <w:qFormat/>
    <w:rsid w:val="006E02B6"/>
    <w:pPr>
      <w:spacing w:after="0" w:line="240" w:lineRule="auto"/>
    </w:pPr>
    <w:rPr>
      <w:rFonts w:asciiTheme="minorHAnsi" w:hAnsiTheme="minorHAnsi" w:cstheme="minorBidi"/>
      <w:sz w:val="22"/>
      <w:szCs w:val="22"/>
    </w:rPr>
  </w:style>
  <w:style w:type="character" w:customStyle="1" w:styleId="baj">
    <w:name w:val="b_aj"/>
    <w:basedOn w:val="Fuentedeprrafopredeter"/>
    <w:rsid w:val="002D17DE"/>
  </w:style>
  <w:style w:type="paragraph" w:styleId="Textoindependiente">
    <w:name w:val="Body Text"/>
    <w:basedOn w:val="Normal"/>
    <w:link w:val="TextoindependienteCar"/>
    <w:uiPriority w:val="1"/>
    <w:qFormat/>
    <w:rsid w:val="007171E5"/>
    <w:pPr>
      <w:widowControl w:val="0"/>
      <w:autoSpaceDE w:val="0"/>
      <w:autoSpaceDN w:val="0"/>
      <w:spacing w:after="0" w:line="240" w:lineRule="auto"/>
    </w:pPr>
    <w:rPr>
      <w:rFonts w:ascii="Times New Roman" w:hAnsi="Times New Roman"/>
      <w:lang w:val="es-ES" w:eastAsia="es-ES" w:bidi="es-ES"/>
    </w:rPr>
  </w:style>
  <w:style w:type="character" w:customStyle="1" w:styleId="TextoindependienteCar">
    <w:name w:val="Texto independiente Car"/>
    <w:basedOn w:val="Fuentedeprrafopredeter"/>
    <w:link w:val="Textoindependiente"/>
    <w:uiPriority w:val="1"/>
    <w:rsid w:val="007171E5"/>
    <w:rPr>
      <w:rFonts w:ascii="Times New Roman" w:eastAsia="Times New Roman" w:hAnsi="Times New Roman" w:cs="Times New Roman"/>
      <w:lang w:val="es-ES" w:eastAsia="es-ES" w:bidi="es-ES"/>
    </w:rPr>
  </w:style>
  <w:style w:type="character" w:customStyle="1" w:styleId="Ttulo1Car">
    <w:name w:val="Título 1 Car"/>
    <w:basedOn w:val="Fuentedeprrafopredeter"/>
    <w:link w:val="Ttulo1"/>
    <w:uiPriority w:val="1"/>
    <w:rsid w:val="00EC5F4C"/>
    <w:rPr>
      <w:rFonts w:ascii="Times New Roman" w:eastAsia="Times New Roman" w:hAnsi="Times New Roman" w:cs="Times New Roman"/>
      <w:sz w:val="40"/>
      <w:szCs w:val="40"/>
      <w:lang w:val="es-ES" w:eastAsia="es-ES" w:bidi="es-ES"/>
    </w:rPr>
  </w:style>
  <w:style w:type="character" w:customStyle="1" w:styleId="Ttulo2Car">
    <w:name w:val="Título 2 Car"/>
    <w:basedOn w:val="Fuentedeprrafopredeter"/>
    <w:link w:val="Ttulo2"/>
    <w:uiPriority w:val="1"/>
    <w:rsid w:val="00EC5F4C"/>
    <w:rPr>
      <w:rFonts w:ascii="Times New Roman" w:eastAsia="Times New Roman" w:hAnsi="Times New Roman" w:cs="Times New Roman"/>
      <w:b/>
      <w:bCs/>
      <w:lang w:val="es-ES" w:eastAsia="es-ES" w:bidi="es-ES"/>
    </w:rPr>
  </w:style>
  <w:style w:type="table" w:customStyle="1" w:styleId="TableNormal">
    <w:name w:val="Table Normal"/>
    <w:uiPriority w:val="2"/>
    <w:semiHidden/>
    <w:unhideWhenUsed/>
    <w:qFormat/>
    <w:rsid w:val="00EC5F4C"/>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1"/>
    <w:qFormat/>
    <w:rsid w:val="00EC5F4C"/>
    <w:pPr>
      <w:widowControl w:val="0"/>
      <w:autoSpaceDE w:val="0"/>
      <w:autoSpaceDN w:val="0"/>
      <w:spacing w:before="37" w:after="0" w:line="240" w:lineRule="auto"/>
      <w:ind w:left="58" w:right="2"/>
      <w:jc w:val="center"/>
    </w:pPr>
    <w:rPr>
      <w:rFonts w:ascii="Times New Roman" w:hAnsi="Times New Roman"/>
      <w:sz w:val="23"/>
      <w:szCs w:val="23"/>
      <w:lang w:val="es-ES" w:eastAsia="es-ES" w:bidi="es-ES"/>
    </w:rPr>
  </w:style>
  <w:style w:type="paragraph" w:styleId="TDC2">
    <w:name w:val="toc 2"/>
    <w:basedOn w:val="Normal"/>
    <w:uiPriority w:val="1"/>
    <w:qFormat/>
    <w:rsid w:val="00EC5F4C"/>
    <w:pPr>
      <w:widowControl w:val="0"/>
      <w:autoSpaceDE w:val="0"/>
      <w:autoSpaceDN w:val="0"/>
      <w:spacing w:before="252" w:after="0" w:line="240" w:lineRule="auto"/>
      <w:ind w:left="87" w:right="2"/>
      <w:jc w:val="center"/>
    </w:pPr>
    <w:rPr>
      <w:rFonts w:ascii="Arial" w:eastAsia="Arial" w:hAnsi="Arial" w:cs="Arial"/>
      <w:sz w:val="12"/>
      <w:szCs w:val="12"/>
      <w:lang w:val="es-ES" w:eastAsia="es-ES" w:bidi="es-ES"/>
    </w:rPr>
  </w:style>
  <w:style w:type="paragraph" w:styleId="TDC3">
    <w:name w:val="toc 3"/>
    <w:basedOn w:val="Normal"/>
    <w:uiPriority w:val="1"/>
    <w:qFormat/>
    <w:rsid w:val="00EC5F4C"/>
    <w:pPr>
      <w:widowControl w:val="0"/>
      <w:autoSpaceDE w:val="0"/>
      <w:autoSpaceDN w:val="0"/>
      <w:spacing w:before="6" w:after="0" w:line="240" w:lineRule="auto"/>
      <w:ind w:left="1163" w:right="1298" w:hanging="227"/>
      <w:jc w:val="both"/>
    </w:pPr>
    <w:rPr>
      <w:rFonts w:ascii="Times New Roman" w:hAnsi="Times New Roman"/>
      <w:sz w:val="20"/>
      <w:szCs w:val="20"/>
      <w:lang w:val="es-ES" w:eastAsia="es-ES" w:bidi="es-ES"/>
    </w:rPr>
  </w:style>
  <w:style w:type="paragraph" w:styleId="TDC4">
    <w:name w:val="toc 4"/>
    <w:basedOn w:val="Normal"/>
    <w:uiPriority w:val="1"/>
    <w:qFormat/>
    <w:rsid w:val="00EC5F4C"/>
    <w:pPr>
      <w:widowControl w:val="0"/>
      <w:autoSpaceDE w:val="0"/>
      <w:autoSpaceDN w:val="0"/>
      <w:spacing w:after="0" w:line="240" w:lineRule="auto"/>
      <w:ind w:left="1163"/>
    </w:pPr>
    <w:rPr>
      <w:rFonts w:ascii="Times New Roman" w:hAnsi="Times New Roman"/>
      <w:sz w:val="22"/>
      <w:szCs w:val="22"/>
      <w:lang w:val="es-ES" w:eastAsia="es-ES" w:bidi="es-ES"/>
    </w:rPr>
  </w:style>
  <w:style w:type="paragraph" w:styleId="TDC5">
    <w:name w:val="toc 5"/>
    <w:basedOn w:val="Normal"/>
    <w:uiPriority w:val="1"/>
    <w:qFormat/>
    <w:rsid w:val="00EC5F4C"/>
    <w:pPr>
      <w:widowControl w:val="0"/>
      <w:autoSpaceDE w:val="0"/>
      <w:autoSpaceDN w:val="0"/>
      <w:spacing w:after="0" w:line="228" w:lineRule="exact"/>
      <w:ind w:left="1163"/>
    </w:pPr>
    <w:rPr>
      <w:rFonts w:ascii="Times New Roman" w:hAnsi="Times New Roman"/>
      <w:sz w:val="20"/>
      <w:szCs w:val="20"/>
      <w:lang w:val="es-ES" w:eastAsia="es-ES" w:bidi="es-ES"/>
    </w:rPr>
  </w:style>
  <w:style w:type="paragraph" w:styleId="TDC6">
    <w:name w:val="toc 6"/>
    <w:basedOn w:val="Normal"/>
    <w:uiPriority w:val="1"/>
    <w:qFormat/>
    <w:rsid w:val="00EC5F4C"/>
    <w:pPr>
      <w:widowControl w:val="0"/>
      <w:autoSpaceDE w:val="0"/>
      <w:autoSpaceDN w:val="0"/>
      <w:spacing w:before="36" w:after="0" w:line="240" w:lineRule="auto"/>
      <w:ind w:left="3415"/>
    </w:pPr>
    <w:rPr>
      <w:rFonts w:ascii="Times New Roman" w:hAnsi="Times New Roman"/>
      <w:sz w:val="23"/>
      <w:szCs w:val="23"/>
      <w:lang w:val="es-ES" w:eastAsia="es-ES" w:bidi="es-ES"/>
    </w:rPr>
  </w:style>
  <w:style w:type="paragraph" w:customStyle="1" w:styleId="TableParagraph">
    <w:name w:val="Table Paragraph"/>
    <w:basedOn w:val="Normal"/>
    <w:uiPriority w:val="1"/>
    <w:qFormat/>
    <w:rsid w:val="00EC5F4C"/>
    <w:pPr>
      <w:widowControl w:val="0"/>
      <w:autoSpaceDE w:val="0"/>
      <w:autoSpaceDN w:val="0"/>
      <w:spacing w:before="6" w:after="0" w:line="240" w:lineRule="auto"/>
      <w:ind w:left="56"/>
      <w:jc w:val="both"/>
    </w:pPr>
    <w:rPr>
      <w:rFonts w:ascii="Times New Roman" w:hAnsi="Times New Roman"/>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5019">
      <w:bodyDiv w:val="1"/>
      <w:marLeft w:val="0"/>
      <w:marRight w:val="0"/>
      <w:marTop w:val="0"/>
      <w:marBottom w:val="0"/>
      <w:divBdr>
        <w:top w:val="none" w:sz="0" w:space="0" w:color="auto"/>
        <w:left w:val="none" w:sz="0" w:space="0" w:color="auto"/>
        <w:bottom w:val="none" w:sz="0" w:space="0" w:color="auto"/>
        <w:right w:val="none" w:sz="0" w:space="0" w:color="auto"/>
      </w:divBdr>
    </w:div>
    <w:div w:id="513039832">
      <w:bodyDiv w:val="1"/>
      <w:marLeft w:val="0"/>
      <w:marRight w:val="0"/>
      <w:marTop w:val="0"/>
      <w:marBottom w:val="0"/>
      <w:divBdr>
        <w:top w:val="none" w:sz="0" w:space="0" w:color="auto"/>
        <w:left w:val="none" w:sz="0" w:space="0" w:color="auto"/>
        <w:bottom w:val="none" w:sz="0" w:space="0" w:color="auto"/>
        <w:right w:val="none" w:sz="0" w:space="0" w:color="auto"/>
      </w:divBdr>
    </w:div>
    <w:div w:id="551692319">
      <w:bodyDiv w:val="1"/>
      <w:marLeft w:val="0"/>
      <w:marRight w:val="0"/>
      <w:marTop w:val="0"/>
      <w:marBottom w:val="0"/>
      <w:divBdr>
        <w:top w:val="none" w:sz="0" w:space="0" w:color="auto"/>
        <w:left w:val="none" w:sz="0" w:space="0" w:color="auto"/>
        <w:bottom w:val="none" w:sz="0" w:space="0" w:color="auto"/>
        <w:right w:val="none" w:sz="0" w:space="0" w:color="auto"/>
      </w:divBdr>
    </w:div>
    <w:div w:id="620306585">
      <w:bodyDiv w:val="1"/>
      <w:marLeft w:val="0"/>
      <w:marRight w:val="0"/>
      <w:marTop w:val="0"/>
      <w:marBottom w:val="0"/>
      <w:divBdr>
        <w:top w:val="none" w:sz="0" w:space="0" w:color="auto"/>
        <w:left w:val="none" w:sz="0" w:space="0" w:color="auto"/>
        <w:bottom w:val="none" w:sz="0" w:space="0" w:color="auto"/>
        <w:right w:val="none" w:sz="0" w:space="0" w:color="auto"/>
      </w:divBdr>
    </w:div>
    <w:div w:id="770398830">
      <w:bodyDiv w:val="1"/>
      <w:marLeft w:val="0"/>
      <w:marRight w:val="0"/>
      <w:marTop w:val="0"/>
      <w:marBottom w:val="0"/>
      <w:divBdr>
        <w:top w:val="none" w:sz="0" w:space="0" w:color="auto"/>
        <w:left w:val="none" w:sz="0" w:space="0" w:color="auto"/>
        <w:bottom w:val="none" w:sz="0" w:space="0" w:color="auto"/>
        <w:right w:val="none" w:sz="0" w:space="0" w:color="auto"/>
      </w:divBdr>
    </w:div>
    <w:div w:id="879511629">
      <w:bodyDiv w:val="1"/>
      <w:marLeft w:val="0"/>
      <w:marRight w:val="0"/>
      <w:marTop w:val="0"/>
      <w:marBottom w:val="0"/>
      <w:divBdr>
        <w:top w:val="none" w:sz="0" w:space="0" w:color="auto"/>
        <w:left w:val="none" w:sz="0" w:space="0" w:color="auto"/>
        <w:bottom w:val="none" w:sz="0" w:space="0" w:color="auto"/>
        <w:right w:val="none" w:sz="0" w:space="0" w:color="auto"/>
      </w:divBdr>
    </w:div>
    <w:div w:id="1025208251">
      <w:bodyDiv w:val="1"/>
      <w:marLeft w:val="0"/>
      <w:marRight w:val="0"/>
      <w:marTop w:val="0"/>
      <w:marBottom w:val="0"/>
      <w:divBdr>
        <w:top w:val="none" w:sz="0" w:space="0" w:color="auto"/>
        <w:left w:val="none" w:sz="0" w:space="0" w:color="auto"/>
        <w:bottom w:val="none" w:sz="0" w:space="0" w:color="auto"/>
        <w:right w:val="none" w:sz="0" w:space="0" w:color="auto"/>
      </w:divBdr>
    </w:div>
    <w:div w:id="1233585272">
      <w:bodyDiv w:val="1"/>
      <w:marLeft w:val="0"/>
      <w:marRight w:val="0"/>
      <w:marTop w:val="0"/>
      <w:marBottom w:val="0"/>
      <w:divBdr>
        <w:top w:val="none" w:sz="0" w:space="0" w:color="auto"/>
        <w:left w:val="none" w:sz="0" w:space="0" w:color="auto"/>
        <w:bottom w:val="none" w:sz="0" w:space="0" w:color="auto"/>
        <w:right w:val="none" w:sz="0" w:space="0" w:color="auto"/>
      </w:divBdr>
      <w:divsChild>
        <w:div w:id="706485641">
          <w:marLeft w:val="547"/>
          <w:marRight w:val="0"/>
          <w:marTop w:val="86"/>
          <w:marBottom w:val="0"/>
          <w:divBdr>
            <w:top w:val="none" w:sz="0" w:space="0" w:color="auto"/>
            <w:left w:val="none" w:sz="0" w:space="0" w:color="auto"/>
            <w:bottom w:val="none" w:sz="0" w:space="0" w:color="auto"/>
            <w:right w:val="none" w:sz="0" w:space="0" w:color="auto"/>
          </w:divBdr>
        </w:div>
        <w:div w:id="1516652152">
          <w:marLeft w:val="547"/>
          <w:marRight w:val="0"/>
          <w:marTop w:val="86"/>
          <w:marBottom w:val="0"/>
          <w:divBdr>
            <w:top w:val="none" w:sz="0" w:space="0" w:color="auto"/>
            <w:left w:val="none" w:sz="0" w:space="0" w:color="auto"/>
            <w:bottom w:val="none" w:sz="0" w:space="0" w:color="auto"/>
            <w:right w:val="none" w:sz="0" w:space="0" w:color="auto"/>
          </w:divBdr>
        </w:div>
        <w:div w:id="1858034431">
          <w:marLeft w:val="547"/>
          <w:marRight w:val="0"/>
          <w:marTop w:val="86"/>
          <w:marBottom w:val="0"/>
          <w:divBdr>
            <w:top w:val="none" w:sz="0" w:space="0" w:color="auto"/>
            <w:left w:val="none" w:sz="0" w:space="0" w:color="auto"/>
            <w:bottom w:val="none" w:sz="0" w:space="0" w:color="auto"/>
            <w:right w:val="none" w:sz="0" w:space="0" w:color="auto"/>
          </w:divBdr>
        </w:div>
        <w:div w:id="82069706">
          <w:marLeft w:val="547"/>
          <w:marRight w:val="0"/>
          <w:marTop w:val="86"/>
          <w:marBottom w:val="0"/>
          <w:divBdr>
            <w:top w:val="none" w:sz="0" w:space="0" w:color="auto"/>
            <w:left w:val="none" w:sz="0" w:space="0" w:color="auto"/>
            <w:bottom w:val="none" w:sz="0" w:space="0" w:color="auto"/>
            <w:right w:val="none" w:sz="0" w:space="0" w:color="auto"/>
          </w:divBdr>
        </w:div>
        <w:div w:id="105656079">
          <w:marLeft w:val="547"/>
          <w:marRight w:val="0"/>
          <w:marTop w:val="86"/>
          <w:marBottom w:val="0"/>
          <w:divBdr>
            <w:top w:val="none" w:sz="0" w:space="0" w:color="auto"/>
            <w:left w:val="none" w:sz="0" w:space="0" w:color="auto"/>
            <w:bottom w:val="none" w:sz="0" w:space="0" w:color="auto"/>
            <w:right w:val="none" w:sz="0" w:space="0" w:color="auto"/>
          </w:divBdr>
        </w:div>
        <w:div w:id="1486773065">
          <w:marLeft w:val="547"/>
          <w:marRight w:val="0"/>
          <w:marTop w:val="86"/>
          <w:marBottom w:val="0"/>
          <w:divBdr>
            <w:top w:val="none" w:sz="0" w:space="0" w:color="auto"/>
            <w:left w:val="none" w:sz="0" w:space="0" w:color="auto"/>
            <w:bottom w:val="none" w:sz="0" w:space="0" w:color="auto"/>
            <w:right w:val="none" w:sz="0" w:space="0" w:color="auto"/>
          </w:divBdr>
        </w:div>
        <w:div w:id="831218384">
          <w:marLeft w:val="547"/>
          <w:marRight w:val="0"/>
          <w:marTop w:val="86"/>
          <w:marBottom w:val="0"/>
          <w:divBdr>
            <w:top w:val="none" w:sz="0" w:space="0" w:color="auto"/>
            <w:left w:val="none" w:sz="0" w:space="0" w:color="auto"/>
            <w:bottom w:val="none" w:sz="0" w:space="0" w:color="auto"/>
            <w:right w:val="none" w:sz="0" w:space="0" w:color="auto"/>
          </w:divBdr>
        </w:div>
        <w:div w:id="1237975542">
          <w:marLeft w:val="547"/>
          <w:marRight w:val="0"/>
          <w:marTop w:val="86"/>
          <w:marBottom w:val="0"/>
          <w:divBdr>
            <w:top w:val="none" w:sz="0" w:space="0" w:color="auto"/>
            <w:left w:val="none" w:sz="0" w:space="0" w:color="auto"/>
            <w:bottom w:val="none" w:sz="0" w:space="0" w:color="auto"/>
            <w:right w:val="none" w:sz="0" w:space="0" w:color="auto"/>
          </w:divBdr>
        </w:div>
        <w:div w:id="1006245328">
          <w:marLeft w:val="547"/>
          <w:marRight w:val="0"/>
          <w:marTop w:val="86"/>
          <w:marBottom w:val="0"/>
          <w:divBdr>
            <w:top w:val="none" w:sz="0" w:space="0" w:color="auto"/>
            <w:left w:val="none" w:sz="0" w:space="0" w:color="auto"/>
            <w:bottom w:val="none" w:sz="0" w:space="0" w:color="auto"/>
            <w:right w:val="none" w:sz="0" w:space="0" w:color="auto"/>
          </w:divBdr>
        </w:div>
        <w:div w:id="1849564097">
          <w:marLeft w:val="547"/>
          <w:marRight w:val="0"/>
          <w:marTop w:val="86"/>
          <w:marBottom w:val="0"/>
          <w:divBdr>
            <w:top w:val="none" w:sz="0" w:space="0" w:color="auto"/>
            <w:left w:val="none" w:sz="0" w:space="0" w:color="auto"/>
            <w:bottom w:val="none" w:sz="0" w:space="0" w:color="auto"/>
            <w:right w:val="none" w:sz="0" w:space="0" w:color="auto"/>
          </w:divBdr>
        </w:div>
      </w:divsChild>
    </w:div>
    <w:div w:id="1288003313">
      <w:bodyDiv w:val="1"/>
      <w:marLeft w:val="0"/>
      <w:marRight w:val="0"/>
      <w:marTop w:val="0"/>
      <w:marBottom w:val="0"/>
      <w:divBdr>
        <w:top w:val="none" w:sz="0" w:space="0" w:color="auto"/>
        <w:left w:val="none" w:sz="0" w:space="0" w:color="auto"/>
        <w:bottom w:val="none" w:sz="0" w:space="0" w:color="auto"/>
        <w:right w:val="none" w:sz="0" w:space="0" w:color="auto"/>
      </w:divBdr>
    </w:div>
    <w:div w:id="1542673828">
      <w:bodyDiv w:val="1"/>
      <w:marLeft w:val="0"/>
      <w:marRight w:val="0"/>
      <w:marTop w:val="0"/>
      <w:marBottom w:val="0"/>
      <w:divBdr>
        <w:top w:val="none" w:sz="0" w:space="0" w:color="auto"/>
        <w:left w:val="none" w:sz="0" w:space="0" w:color="auto"/>
        <w:bottom w:val="none" w:sz="0" w:space="0" w:color="auto"/>
        <w:right w:val="none" w:sz="0" w:space="0" w:color="auto"/>
      </w:divBdr>
    </w:div>
    <w:div w:id="1593540009">
      <w:bodyDiv w:val="1"/>
      <w:marLeft w:val="0"/>
      <w:marRight w:val="0"/>
      <w:marTop w:val="0"/>
      <w:marBottom w:val="0"/>
      <w:divBdr>
        <w:top w:val="none" w:sz="0" w:space="0" w:color="auto"/>
        <w:left w:val="none" w:sz="0" w:space="0" w:color="auto"/>
        <w:bottom w:val="none" w:sz="0" w:space="0" w:color="auto"/>
        <w:right w:val="none" w:sz="0" w:space="0" w:color="auto"/>
      </w:divBdr>
      <w:divsChild>
        <w:div w:id="2136294063">
          <w:marLeft w:val="0"/>
          <w:marRight w:val="0"/>
          <w:marTop w:val="0"/>
          <w:marBottom w:val="0"/>
          <w:divBdr>
            <w:top w:val="single" w:sz="2" w:space="0" w:color="CCCCCC"/>
            <w:left w:val="single" w:sz="4" w:space="0" w:color="CCCCCC"/>
            <w:bottom w:val="single" w:sz="4" w:space="0" w:color="CCCCCC"/>
            <w:right w:val="single" w:sz="4" w:space="0" w:color="CCCCCC"/>
          </w:divBdr>
          <w:divsChild>
            <w:div w:id="1181428098">
              <w:marLeft w:val="0"/>
              <w:marRight w:val="0"/>
              <w:marTop w:val="0"/>
              <w:marBottom w:val="0"/>
              <w:divBdr>
                <w:top w:val="none" w:sz="0" w:space="0" w:color="auto"/>
                <w:left w:val="none" w:sz="0" w:space="0" w:color="auto"/>
                <w:bottom w:val="none" w:sz="0" w:space="0" w:color="auto"/>
                <w:right w:val="none" w:sz="0" w:space="0" w:color="auto"/>
              </w:divBdr>
              <w:divsChild>
                <w:div w:id="1063797339">
                  <w:marLeft w:val="0"/>
                  <w:marRight w:val="0"/>
                  <w:marTop w:val="0"/>
                  <w:marBottom w:val="264"/>
                  <w:divBdr>
                    <w:top w:val="none" w:sz="0" w:space="0" w:color="auto"/>
                    <w:left w:val="none" w:sz="0" w:space="0" w:color="auto"/>
                    <w:bottom w:val="none" w:sz="0" w:space="0" w:color="auto"/>
                    <w:right w:val="none" w:sz="0" w:space="0" w:color="auto"/>
                  </w:divBdr>
                  <w:divsChild>
                    <w:div w:id="41904344">
                      <w:marLeft w:val="0"/>
                      <w:marRight w:val="0"/>
                      <w:marTop w:val="0"/>
                      <w:marBottom w:val="0"/>
                      <w:divBdr>
                        <w:top w:val="none" w:sz="0" w:space="0" w:color="auto"/>
                        <w:left w:val="none" w:sz="0" w:space="0" w:color="auto"/>
                        <w:bottom w:val="none" w:sz="0" w:space="0" w:color="auto"/>
                        <w:right w:val="none" w:sz="0" w:space="0" w:color="auto"/>
                      </w:divBdr>
                      <w:divsChild>
                        <w:div w:id="1991592024">
                          <w:marLeft w:val="0"/>
                          <w:marRight w:val="0"/>
                          <w:marTop w:val="0"/>
                          <w:marBottom w:val="0"/>
                          <w:divBdr>
                            <w:top w:val="none" w:sz="0" w:space="0" w:color="auto"/>
                            <w:left w:val="none" w:sz="0" w:space="0" w:color="auto"/>
                            <w:bottom w:val="none" w:sz="0" w:space="0" w:color="auto"/>
                            <w:right w:val="none" w:sz="0" w:space="0" w:color="auto"/>
                          </w:divBdr>
                          <w:divsChild>
                            <w:div w:id="1336030718">
                              <w:marLeft w:val="0"/>
                              <w:marRight w:val="0"/>
                              <w:marTop w:val="0"/>
                              <w:marBottom w:val="0"/>
                              <w:divBdr>
                                <w:top w:val="none" w:sz="0" w:space="0" w:color="auto"/>
                                <w:left w:val="none" w:sz="0" w:space="0" w:color="auto"/>
                                <w:bottom w:val="none" w:sz="0" w:space="0" w:color="auto"/>
                                <w:right w:val="none" w:sz="0" w:space="0" w:color="auto"/>
                              </w:divBdr>
                              <w:divsChild>
                                <w:div w:id="1785035860">
                                  <w:marLeft w:val="0"/>
                                  <w:marRight w:val="0"/>
                                  <w:marTop w:val="0"/>
                                  <w:marBottom w:val="0"/>
                                  <w:divBdr>
                                    <w:top w:val="none" w:sz="0" w:space="0" w:color="auto"/>
                                    <w:left w:val="none" w:sz="0" w:space="0" w:color="auto"/>
                                    <w:bottom w:val="none" w:sz="0" w:space="0" w:color="auto"/>
                                    <w:right w:val="none" w:sz="0" w:space="0" w:color="auto"/>
                                  </w:divBdr>
                                  <w:divsChild>
                                    <w:div w:id="85619170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29043">
      <w:bodyDiv w:val="1"/>
      <w:marLeft w:val="0"/>
      <w:marRight w:val="0"/>
      <w:marTop w:val="0"/>
      <w:marBottom w:val="0"/>
      <w:divBdr>
        <w:top w:val="none" w:sz="0" w:space="0" w:color="auto"/>
        <w:left w:val="none" w:sz="0" w:space="0" w:color="auto"/>
        <w:bottom w:val="none" w:sz="0" w:space="0" w:color="auto"/>
        <w:right w:val="none" w:sz="0" w:space="0" w:color="auto"/>
      </w:divBdr>
    </w:div>
    <w:div w:id="1666779491">
      <w:bodyDiv w:val="1"/>
      <w:marLeft w:val="0"/>
      <w:marRight w:val="0"/>
      <w:marTop w:val="0"/>
      <w:marBottom w:val="0"/>
      <w:divBdr>
        <w:top w:val="none" w:sz="0" w:space="0" w:color="auto"/>
        <w:left w:val="none" w:sz="0" w:space="0" w:color="auto"/>
        <w:bottom w:val="none" w:sz="0" w:space="0" w:color="auto"/>
        <w:right w:val="none" w:sz="0" w:space="0" w:color="auto"/>
      </w:divBdr>
    </w:div>
    <w:div w:id="1705905722">
      <w:bodyDiv w:val="1"/>
      <w:marLeft w:val="0"/>
      <w:marRight w:val="0"/>
      <w:marTop w:val="0"/>
      <w:marBottom w:val="0"/>
      <w:divBdr>
        <w:top w:val="none" w:sz="0" w:space="0" w:color="auto"/>
        <w:left w:val="none" w:sz="0" w:space="0" w:color="auto"/>
        <w:bottom w:val="none" w:sz="0" w:space="0" w:color="auto"/>
        <w:right w:val="none" w:sz="0" w:space="0" w:color="auto"/>
      </w:divBdr>
    </w:div>
    <w:div w:id="18445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DB5E-FE0F-494D-8C1B-2A00799C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13052</Words>
  <Characters>71788</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AGOBARDO ÑAÑEZ ERAZO</dc:creator>
  <cp:lastModifiedBy>Ricardo Castro Iragorri</cp:lastModifiedBy>
  <cp:revision>2</cp:revision>
  <cp:lastPrinted>2019-10-17T15:22:00Z</cp:lastPrinted>
  <dcterms:created xsi:type="dcterms:W3CDTF">2019-10-17T15:24:00Z</dcterms:created>
  <dcterms:modified xsi:type="dcterms:W3CDTF">2019-10-17T15:24:00Z</dcterms:modified>
</cp:coreProperties>
</file>